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73CC4" w:rsidR="00302ED9" w:rsidP="00302ED9" w:rsidRDefault="00302ED9">
      <w:pPr>
        <w:jc w:val="center"/>
        <w:rPr>
          <w:rFonts w:cstheme="minorHAnsi"/>
          <w:b/>
          <w:bCs/>
          <w:noProof/>
          <w:color w:val="000000" w:themeColor="text1"/>
          <w:sz w:val="40"/>
          <w:szCs w:val="40"/>
          <w:lang w:eastAsia="tr-TR"/>
        </w:rPr>
      </w:pPr>
      <w:r w:rsidRPr="00973CC4">
        <w:rPr>
          <w:rFonts w:cstheme="minorHAnsi"/>
          <w:b/>
          <w:noProof/>
          <w:sz w:val="24"/>
          <w:szCs w:val="24"/>
          <w:lang w:eastAsia="tr-TR"/>
        </w:rPr>
        <w:drawing>
          <wp:inline distT="0" distB="0" distL="0" distR="0" wp14:anchorId="6F4C6454" wp14:editId="60B1CBA8">
            <wp:extent cx="2326530" cy="10191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355038" cy="1031664"/>
                    </a:xfrm>
                    <a:prstGeom prst="rect">
                      <a:avLst/>
                    </a:prstGeom>
                    <a:noFill/>
                    <a:ln w="9525">
                      <a:noFill/>
                      <a:miter lim="800000"/>
                      <a:headEnd/>
                      <a:tailEnd/>
                    </a:ln>
                  </pic:spPr>
                </pic:pic>
              </a:graphicData>
            </a:graphic>
          </wp:inline>
        </w:drawing>
      </w:r>
    </w:p>
    <w:p w:rsidRPr="00973CC4" w:rsidR="00302ED9" w:rsidP="00302ED9" w:rsidRDefault="00302ED9">
      <w:pPr>
        <w:jc w:val="center"/>
        <w:rPr>
          <w:rFonts w:cstheme="minorHAnsi"/>
          <w:b/>
          <w:bCs/>
          <w:noProof/>
          <w:color w:val="000000" w:themeColor="text1"/>
          <w:sz w:val="40"/>
          <w:szCs w:val="40"/>
          <w:lang w:eastAsia="tr-TR"/>
        </w:rPr>
      </w:pPr>
    </w:p>
    <w:p w:rsidRPr="00973CC4" w:rsidR="00302ED9" w:rsidP="00302ED9" w:rsidRDefault="00302ED9">
      <w:pPr>
        <w:jc w:val="center"/>
        <w:rPr>
          <w:rFonts w:cstheme="minorHAnsi"/>
          <w:b/>
          <w:bCs/>
          <w:color w:val="000000" w:themeColor="text1"/>
          <w:sz w:val="40"/>
          <w:szCs w:val="40"/>
        </w:rPr>
      </w:pPr>
      <w:r>
        <w:rPr>
          <w:rFonts w:cstheme="minorHAnsi"/>
          <w:b/>
          <w:bCs/>
          <w:noProof/>
          <w:color w:val="000000" w:themeColor="text1"/>
          <w:sz w:val="40"/>
          <w:szCs w:val="40"/>
          <w:lang w:eastAsia="tr-TR"/>
        </w:rPr>
        <w:t>Nijerya</w:t>
      </w:r>
      <w:r w:rsidRPr="00973CC4">
        <w:rPr>
          <w:rFonts w:cstheme="minorHAnsi"/>
          <w:b/>
          <w:bCs/>
          <w:color w:val="000000" w:themeColor="text1"/>
          <w:sz w:val="40"/>
          <w:szCs w:val="40"/>
        </w:rPr>
        <w:t xml:space="preserve"> Ülke Raporu</w:t>
      </w:r>
    </w:p>
    <w:p w:rsidRPr="00973CC4" w:rsidR="00302ED9" w:rsidP="00302ED9" w:rsidRDefault="00302ED9">
      <w:pPr>
        <w:jc w:val="center"/>
        <w:rPr>
          <w:rFonts w:cstheme="minorHAnsi"/>
          <w:b/>
          <w:bCs/>
          <w:color w:val="000000" w:themeColor="text1"/>
          <w:sz w:val="40"/>
          <w:szCs w:val="40"/>
        </w:rPr>
      </w:pPr>
      <w:r w:rsidRPr="00973CC4">
        <w:rPr>
          <w:rFonts w:cstheme="minorHAnsi"/>
          <w:b/>
          <w:bCs/>
          <w:color w:val="000000" w:themeColor="text1"/>
          <w:sz w:val="40"/>
          <w:szCs w:val="40"/>
        </w:rPr>
        <w:t>(Otomotiv Sektörü Açısından)</w:t>
      </w:r>
    </w:p>
    <w:p w:rsidR="001F121E" w:rsidP="001F121E" w:rsidRDefault="001F121E">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302ED9" w:rsidP="001F121E" w:rsidRDefault="00302ED9">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302ED9" w:rsidP="001F121E" w:rsidRDefault="00302ED9">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r w:rsidRPr="00302ED9">
        <w:rPr>
          <w:rStyle w:val="Gl"/>
          <w:rFonts w:cs="Tahoma" w:asciiTheme="minorHAnsi" w:hAnsiTheme="minorHAnsi"/>
          <w:noProof/>
          <w:color w:val="000000"/>
          <w:sz w:val="44"/>
          <w:szCs w:val="20"/>
          <w:bdr w:val="none" w:color="auto" w:sz="0" w:space="0" w:frame="1"/>
        </w:rPr>
        <w:drawing>
          <wp:inline distT="0" distB="0" distL="0" distR="0">
            <wp:extent cx="3590925" cy="1795463"/>
            <wp:effectExtent l="0" t="0" r="0" b="0"/>
            <wp:docPr id="1" name="Resim 1" descr="C:\Users\gulh\Deskt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h\Deskto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264" cy="1797132"/>
                    </a:xfrm>
                    <a:prstGeom prst="rect">
                      <a:avLst/>
                    </a:prstGeom>
                    <a:noFill/>
                    <a:ln>
                      <a:noFill/>
                    </a:ln>
                  </pic:spPr>
                </pic:pic>
              </a:graphicData>
            </a:graphic>
          </wp:inline>
        </w:drawing>
      </w:r>
    </w:p>
    <w:p w:rsidR="00302ED9" w:rsidP="001F121E" w:rsidRDefault="00302ED9">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302ED9" w:rsidP="001F121E" w:rsidRDefault="00302ED9">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302ED9" w:rsidP="001F121E" w:rsidRDefault="00302ED9">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302ED9" w:rsidP="001F121E" w:rsidRDefault="00302ED9">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Pr="00973CC4" w:rsidR="00302ED9" w:rsidP="00302ED9" w:rsidRDefault="00302ED9">
      <w:pPr>
        <w:spacing w:after="0"/>
        <w:jc w:val="center"/>
        <w:rPr>
          <w:rFonts w:cstheme="minorHAnsi"/>
          <w:b/>
          <w:bCs/>
          <w:color w:val="000000" w:themeColor="text1"/>
          <w:sz w:val="32"/>
          <w:szCs w:val="32"/>
        </w:rPr>
      </w:pPr>
      <w:r w:rsidRPr="00973CC4">
        <w:rPr>
          <w:rFonts w:cstheme="minorHAnsi"/>
          <w:b/>
          <w:bCs/>
          <w:color w:val="000000" w:themeColor="text1"/>
          <w:sz w:val="32"/>
          <w:szCs w:val="32"/>
        </w:rPr>
        <w:t>Uludağ İhracatçı Birlikleri Genel Sekreterliği</w:t>
      </w:r>
    </w:p>
    <w:p w:rsidRPr="00973CC4" w:rsidR="00302ED9" w:rsidP="00302ED9" w:rsidRDefault="00302ED9">
      <w:pPr>
        <w:spacing w:after="0"/>
        <w:jc w:val="center"/>
        <w:rPr>
          <w:rFonts w:cstheme="minorHAnsi"/>
          <w:b/>
          <w:bCs/>
          <w:color w:val="000000" w:themeColor="text1"/>
          <w:sz w:val="32"/>
          <w:szCs w:val="32"/>
        </w:rPr>
      </w:pPr>
      <w:r w:rsidRPr="00973CC4">
        <w:rPr>
          <w:rFonts w:cstheme="minorHAnsi"/>
          <w:b/>
          <w:bCs/>
          <w:color w:val="000000" w:themeColor="text1"/>
          <w:sz w:val="32"/>
          <w:szCs w:val="32"/>
        </w:rPr>
        <w:t>Ar-Ge Şubesi</w:t>
      </w:r>
    </w:p>
    <w:p w:rsidRPr="00973CC4" w:rsidR="00302ED9" w:rsidP="00302ED9" w:rsidRDefault="00302ED9">
      <w:pPr>
        <w:spacing w:after="0"/>
        <w:jc w:val="center"/>
        <w:rPr>
          <w:rFonts w:cstheme="minorHAnsi"/>
          <w:b/>
          <w:bCs/>
          <w:color w:val="000000" w:themeColor="text1"/>
          <w:sz w:val="32"/>
          <w:szCs w:val="32"/>
        </w:rPr>
      </w:pPr>
      <w:r w:rsidRPr="00973CC4">
        <w:rPr>
          <w:rFonts w:cstheme="minorHAnsi"/>
          <w:b/>
          <w:bCs/>
          <w:color w:val="000000" w:themeColor="text1"/>
          <w:sz w:val="32"/>
          <w:szCs w:val="32"/>
        </w:rPr>
        <w:t>Aralık, 2019</w:t>
      </w:r>
    </w:p>
    <w:p w:rsidR="00302ED9" w:rsidP="001F121E" w:rsidRDefault="00302ED9">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302ED9" w:rsidP="001F121E" w:rsidRDefault="00302ED9">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1F121E" w:rsidP="001F121E" w:rsidRDefault="001F121E">
      <w:pPr>
        <w:shd w:val="clear" w:color="auto" w:fill="FFFFFF"/>
        <w:spacing w:after="0" w:line="240" w:lineRule="auto"/>
        <w:textAlignment w:val="baseline"/>
        <w:rPr>
          <w:rFonts w:ascii="Tahoma" w:hAnsi="Tahoma" w:eastAsia="Times New Roman" w:cs="Tahoma"/>
          <w:b/>
          <w:color w:val="000000"/>
          <w:sz w:val="20"/>
          <w:szCs w:val="20"/>
          <w:lang w:eastAsia="tr-TR"/>
        </w:rPr>
      </w:pPr>
    </w:p>
    <w:p w:rsidRPr="00022AE5" w:rsidR="00DC2383" w:rsidP="00DC2383" w:rsidRDefault="00DC2383">
      <w:pPr>
        <w:spacing w:after="160" w:line="259" w:lineRule="auto"/>
        <w:jc w:val="center"/>
        <w:rPr>
          <w:rFonts w:cs="Tahoma"/>
          <w:bCs/>
          <w:color w:val="000000"/>
          <w:sz w:val="44"/>
          <w:szCs w:val="20"/>
          <w:bdr w:val="none" w:color="auto" w:sz="0" w:space="0" w:frame="1"/>
        </w:rPr>
      </w:pPr>
      <w:r w:rsidRPr="00022AE5">
        <w:rPr>
          <w:rFonts w:eastAsia="Times New Roman" w:cs="Times New Roman"/>
          <w:b/>
          <w:color w:val="244061" w:themeColor="accent1" w:themeShade="80"/>
          <w:sz w:val="52"/>
          <w:lang w:eastAsia="tr-TR"/>
        </w:rPr>
        <w:lastRenderedPageBreak/>
        <w:t>İÇİNDEKİLER</w:t>
      </w:r>
    </w:p>
    <w:p w:rsidRPr="00022AE5" w:rsidR="00DC2383" w:rsidP="00DC2383" w:rsidRDefault="00DC2383">
      <w:pPr>
        <w:spacing w:after="160" w:line="259" w:lineRule="auto"/>
        <w:jc w:val="center"/>
        <w:rPr>
          <w:rFonts w:eastAsia="Times New Roman" w:cs="Tahoma"/>
          <w:b/>
          <w:bCs/>
          <w:color w:val="000000"/>
          <w:sz w:val="44"/>
          <w:szCs w:val="20"/>
          <w:bdr w:val="none" w:color="auto" w:sz="0" w:space="0" w:frame="1"/>
          <w:lang w:eastAsia="tr-TR"/>
        </w:rPr>
      </w:pPr>
    </w:p>
    <w:p w:rsidRPr="00022AE5" w:rsidR="00DC2383" w:rsidP="00DC2383" w:rsidRDefault="00DC2383">
      <w:pPr>
        <w:spacing w:after="160" w:line="259" w:lineRule="auto"/>
        <w:jc w:val="center"/>
        <w:rPr>
          <w:rFonts w:eastAsia="Times New Roman" w:cs="Tahoma"/>
          <w:b/>
          <w:bCs/>
          <w:color w:val="000000"/>
          <w:sz w:val="44"/>
          <w:szCs w:val="20"/>
          <w:bdr w:val="none" w:color="auto" w:sz="0" w:space="0" w:frame="1"/>
          <w:lang w:eastAsia="tr-TR"/>
        </w:rPr>
      </w:pPr>
    </w:p>
    <w:p w:rsidRPr="00022AE5" w:rsidR="00DC2383" w:rsidP="00DC2383" w:rsidRDefault="00DC2383">
      <w:pPr>
        <w:spacing w:after="0" w:line="360" w:lineRule="auto"/>
        <w:jc w:val="both"/>
        <w:rPr>
          <w:rFonts w:eastAsia="Times New Roman" w:cs="Times New Roman"/>
          <w:color w:val="0F243E"/>
          <w:sz w:val="24"/>
          <w:lang w:eastAsia="tr-TR"/>
        </w:rPr>
      </w:pPr>
      <w:r w:rsidRPr="00022AE5">
        <w:rPr>
          <w:rFonts w:eastAsia="Times New Roman" w:cs="Times New Roman"/>
          <w:b/>
          <w:bCs/>
          <w:color w:val="0F243E"/>
          <w:sz w:val="24"/>
          <w:lang w:eastAsia="tr-TR"/>
        </w:rPr>
        <w:t>1.</w:t>
      </w:r>
      <w:r w:rsidRPr="00022AE5">
        <w:t xml:space="preserve"> </w:t>
      </w:r>
      <w:r w:rsidRPr="00022AE5">
        <w:rPr>
          <w:rFonts w:eastAsia="Times New Roman" w:cs="Times New Roman"/>
          <w:b/>
          <w:bCs/>
          <w:color w:val="0F243E"/>
          <w:sz w:val="24"/>
          <w:lang w:eastAsia="tr-TR"/>
        </w:rPr>
        <w:t xml:space="preserve">GENEL EKONOMİK DURUM </w:t>
      </w:r>
      <w:r w:rsidRPr="00022AE5">
        <w:rPr>
          <w:rFonts w:eastAsia="Times New Roman" w:cs="Times New Roman"/>
          <w:color w:val="0F243E"/>
          <w:sz w:val="24"/>
          <w:lang w:eastAsia="tr-TR"/>
        </w:rPr>
        <w:ptab w:alignment="right" w:relativeTo="margin" w:leader="dot"/>
      </w:r>
      <w:r w:rsidRPr="00022AE5">
        <w:rPr>
          <w:rFonts w:eastAsia="Times New Roman" w:cs="Times New Roman"/>
          <w:b/>
          <w:bCs/>
          <w:color w:val="0F243E"/>
          <w:sz w:val="24"/>
          <w:lang w:eastAsia="tr-TR"/>
        </w:rPr>
        <w:t>3</w:t>
      </w:r>
    </w:p>
    <w:p w:rsidRPr="00022AE5" w:rsidR="00DC2383" w:rsidP="00DC2383" w:rsidRDefault="00DC2383">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2.</w:t>
      </w:r>
      <w:r w:rsidRPr="00022AE5">
        <w:rPr>
          <w:rFonts w:eastAsia="Times New Roman" w:cs="Times New Roman"/>
          <w:lang w:eastAsia="tr-TR"/>
        </w:rPr>
        <w:t xml:space="preserve"> </w:t>
      </w:r>
      <w:r w:rsidRPr="00DC2383">
        <w:rPr>
          <w:rFonts w:eastAsia="Times New Roman" w:cs="Times New Roman"/>
          <w:b/>
          <w:bCs/>
          <w:color w:val="0F243E"/>
          <w:sz w:val="24"/>
          <w:lang w:eastAsia="tr-TR"/>
        </w:rPr>
        <w:t xml:space="preserve">NİJERYA’NIN </w:t>
      </w:r>
      <w:r w:rsidRPr="00022AE5">
        <w:rPr>
          <w:rFonts w:eastAsia="Times New Roman" w:cs="Times New Roman"/>
          <w:b/>
          <w:bCs/>
          <w:color w:val="0F243E"/>
          <w:sz w:val="24"/>
          <w:lang w:eastAsia="tr-TR"/>
        </w:rPr>
        <w:t xml:space="preserve">DIŞ TİCARETİ </w:t>
      </w:r>
      <w:r w:rsidRPr="00022AE5">
        <w:rPr>
          <w:rFonts w:eastAsia="Times New Roman" w:cs="Times New Roman"/>
          <w:color w:val="0F243E"/>
          <w:sz w:val="24"/>
          <w:lang w:eastAsia="tr-TR"/>
        </w:rPr>
        <w:ptab w:alignment="right" w:relativeTo="margin" w:leader="dot"/>
      </w:r>
      <w:r>
        <w:rPr>
          <w:rFonts w:eastAsia="Times New Roman" w:cs="Times New Roman"/>
          <w:b/>
          <w:color w:val="0F243E"/>
          <w:sz w:val="24"/>
          <w:lang w:eastAsia="tr-TR"/>
        </w:rPr>
        <w:t>5</w:t>
      </w:r>
    </w:p>
    <w:p w:rsidRPr="00022AE5" w:rsidR="00DC2383" w:rsidP="00DC2383" w:rsidRDefault="00DC2383">
      <w:pPr>
        <w:spacing w:after="0" w:line="360" w:lineRule="auto"/>
        <w:jc w:val="both"/>
        <w:rPr>
          <w:rFonts w:eastAsia="Calibri" w:cs="Times New Roman"/>
          <w:b/>
          <w:color w:val="0F243E"/>
          <w:sz w:val="24"/>
        </w:rPr>
      </w:pPr>
      <w:r w:rsidRPr="00022AE5">
        <w:rPr>
          <w:rFonts w:eastAsia="Times New Roman" w:cs="Times New Roman"/>
          <w:b/>
          <w:bCs/>
          <w:color w:val="0F243E"/>
          <w:sz w:val="24"/>
          <w:lang w:eastAsia="tr-TR"/>
        </w:rPr>
        <w:t>3.</w:t>
      </w:r>
      <w:r w:rsidRPr="00022AE5">
        <w:rPr>
          <w:rFonts w:eastAsia="Calibri" w:cs="Times New Roman"/>
        </w:rPr>
        <w:t xml:space="preserve"> </w:t>
      </w:r>
      <w:r w:rsidRPr="00022AE5">
        <w:rPr>
          <w:rFonts w:eastAsia="Times New Roman" w:cs="Times New Roman"/>
          <w:b/>
          <w:bCs/>
          <w:color w:val="0F243E"/>
          <w:sz w:val="24"/>
          <w:lang w:eastAsia="tr-TR"/>
        </w:rPr>
        <w:t xml:space="preserve">TÜRKİYE İLE TİCARET </w:t>
      </w:r>
      <w:r w:rsidRPr="00022AE5">
        <w:rPr>
          <w:rFonts w:eastAsia="Calibri" w:cs="Times New Roman"/>
          <w:color w:val="0F243E"/>
          <w:sz w:val="24"/>
        </w:rPr>
        <w:ptab w:alignment="right" w:relativeTo="margin" w:leader="dot"/>
      </w:r>
      <w:r>
        <w:rPr>
          <w:rFonts w:eastAsia="Calibri" w:cs="Times New Roman"/>
          <w:b/>
          <w:color w:val="0F243E"/>
          <w:sz w:val="24"/>
        </w:rPr>
        <w:t>8</w:t>
      </w:r>
    </w:p>
    <w:p w:rsidRPr="00022AE5" w:rsidR="00DC2383" w:rsidP="00DC2383" w:rsidRDefault="00DC2383">
      <w:pPr>
        <w:spacing w:after="0" w:line="360" w:lineRule="auto"/>
        <w:jc w:val="both"/>
        <w:rPr>
          <w:rFonts w:eastAsia="Times New Roman" w:cs="Times New Roman"/>
          <w:b/>
          <w:bCs/>
          <w:color w:val="0F243E"/>
          <w:sz w:val="24"/>
          <w:lang w:eastAsia="tr-TR"/>
        </w:rPr>
      </w:pPr>
      <w:r>
        <w:rPr>
          <w:rFonts w:eastAsia="Times New Roman" w:cs="Times New Roman"/>
          <w:b/>
          <w:bCs/>
          <w:color w:val="0F243E"/>
          <w:sz w:val="24"/>
          <w:lang w:eastAsia="tr-TR"/>
        </w:rPr>
        <w:t xml:space="preserve">4. </w:t>
      </w:r>
      <w:r w:rsidRPr="00DC2383">
        <w:rPr>
          <w:rFonts w:eastAsia="Times New Roman" w:cs="Times New Roman"/>
          <w:b/>
          <w:bCs/>
          <w:color w:val="0F243E"/>
          <w:sz w:val="24"/>
          <w:lang w:eastAsia="tr-TR"/>
        </w:rPr>
        <w:t>NİJERYA’NIN</w:t>
      </w:r>
      <w:r w:rsidRPr="00022AE5">
        <w:rPr>
          <w:rFonts w:eastAsia="Times New Roman" w:cs="Times New Roman"/>
          <w:b/>
          <w:bCs/>
          <w:color w:val="0F243E"/>
          <w:sz w:val="24"/>
          <w:lang w:eastAsia="tr-TR"/>
        </w:rPr>
        <w:t xml:space="preserve"> OTOMOTİV SEKTÖRÜ AÇISINDAN DEĞERLENDİRİLMESİ </w:t>
      </w:r>
      <w:r w:rsidRPr="00022AE5">
        <w:rPr>
          <w:rFonts w:eastAsia="Calibri" w:cs="Times New Roman"/>
          <w:color w:val="0F243E"/>
          <w:sz w:val="24"/>
        </w:rPr>
        <w:ptab w:alignment="right" w:relativeTo="margin" w:leader="dot"/>
      </w:r>
      <w:r w:rsidRPr="00022AE5">
        <w:rPr>
          <w:rFonts w:eastAsia="Times New Roman" w:cs="Times New Roman"/>
          <w:b/>
          <w:bCs/>
          <w:color w:val="0F243E"/>
          <w:sz w:val="24"/>
          <w:lang w:eastAsia="tr-TR"/>
        </w:rPr>
        <w:t>1</w:t>
      </w:r>
      <w:r w:rsidR="00DC267F">
        <w:rPr>
          <w:rFonts w:eastAsia="Times New Roman" w:cs="Times New Roman"/>
          <w:b/>
          <w:bCs/>
          <w:color w:val="0F243E"/>
          <w:sz w:val="24"/>
          <w:lang w:eastAsia="tr-TR"/>
        </w:rPr>
        <w:t>0</w:t>
      </w:r>
    </w:p>
    <w:p w:rsidRPr="00022AE5" w:rsidR="00DC2383" w:rsidP="00DC2383" w:rsidRDefault="00DC2383">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5.İŞ ADAMLARININ PAZARDA DİKKAT ETMESİ GEREKEN HUSUSLAR</w:t>
      </w:r>
      <w:r w:rsidRPr="00022AE5">
        <w:rPr>
          <w:rFonts w:eastAsia="Calibri" w:cs="Times New Roman"/>
          <w:color w:val="0F243E"/>
          <w:sz w:val="24"/>
        </w:rPr>
        <w:ptab w:alignment="right" w:relativeTo="margin" w:leader="dot"/>
      </w:r>
      <w:r w:rsidRPr="00022AE5">
        <w:rPr>
          <w:rFonts w:eastAsia="Times New Roman" w:cs="Times New Roman"/>
          <w:b/>
          <w:bCs/>
          <w:color w:val="0F243E"/>
          <w:sz w:val="24"/>
          <w:lang w:eastAsia="tr-TR"/>
        </w:rPr>
        <w:t>1</w:t>
      </w:r>
      <w:r w:rsidR="00DC267F">
        <w:rPr>
          <w:rFonts w:eastAsia="Times New Roman" w:cs="Times New Roman"/>
          <w:b/>
          <w:bCs/>
          <w:color w:val="0F243E"/>
          <w:sz w:val="24"/>
          <w:lang w:eastAsia="tr-TR"/>
        </w:rPr>
        <w:t>1</w:t>
      </w:r>
    </w:p>
    <w:p w:rsidRPr="00022AE5" w:rsidR="00DC2383" w:rsidP="00DC2383" w:rsidRDefault="00DC2383">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 xml:space="preserve">KAYNAKLAR </w:t>
      </w:r>
      <w:r w:rsidRPr="00022AE5">
        <w:rPr>
          <w:rFonts w:eastAsia="Calibri" w:cs="Times New Roman"/>
          <w:color w:val="0F243E"/>
          <w:sz w:val="24"/>
        </w:rPr>
        <w:ptab w:alignment="right" w:relativeTo="margin" w:leader="dot"/>
      </w:r>
      <w:r w:rsidR="00DC267F">
        <w:rPr>
          <w:rFonts w:eastAsia="Times New Roman" w:cs="Times New Roman"/>
          <w:b/>
          <w:bCs/>
          <w:color w:val="0F243E"/>
          <w:sz w:val="24"/>
          <w:lang w:eastAsia="tr-TR"/>
        </w:rPr>
        <w:t>12</w:t>
      </w:r>
    </w:p>
    <w:p w:rsidRPr="00022AE5" w:rsidR="00DC2383" w:rsidP="00DC2383" w:rsidRDefault="00DC2383">
      <w:pPr>
        <w:spacing w:after="160" w:line="259" w:lineRule="auto"/>
        <w:rPr>
          <w:rFonts w:eastAsia="Times New Roman" w:cs="Tahoma"/>
          <w:b/>
          <w:bCs/>
          <w:color w:val="000000"/>
          <w:sz w:val="44"/>
          <w:szCs w:val="20"/>
          <w:bdr w:val="none" w:color="auto" w:sz="0" w:space="0" w:frame="1"/>
          <w:lang w:eastAsia="tr-TR"/>
        </w:rPr>
      </w:pPr>
      <w:r w:rsidRPr="00022AE5">
        <w:rPr>
          <w:rFonts w:cs="Tahoma"/>
          <w:b/>
          <w:bCs/>
          <w:color w:val="000000"/>
          <w:sz w:val="44"/>
          <w:szCs w:val="20"/>
          <w:bdr w:val="none" w:color="auto" w:sz="0" w:space="0" w:frame="1"/>
        </w:rPr>
        <w:br w:type="page"/>
      </w:r>
    </w:p>
    <w:p w:rsidRPr="00C349CF" w:rsidR="001F121E" w:rsidP="001F121E" w:rsidRDefault="001F121E">
      <w:pPr>
        <w:shd w:val="clear" w:color="auto" w:fill="FFFFFF"/>
        <w:spacing w:after="0" w:line="240" w:lineRule="auto"/>
        <w:jc w:val="center"/>
        <w:textAlignment w:val="baseline"/>
        <w:rPr>
          <w:rFonts w:eastAsia="Times New Roman" w:cs="Times New Roman"/>
          <w:b/>
          <w:i/>
          <w:color w:val="000000"/>
          <w:sz w:val="28"/>
          <w:szCs w:val="20"/>
          <w:u w:val="single"/>
          <w:lang w:eastAsia="tr-TR"/>
        </w:rPr>
      </w:pPr>
      <w:r w:rsidRPr="00C349CF">
        <w:rPr>
          <w:rFonts w:ascii="Tahoma" w:hAnsi="Tahoma" w:eastAsia="Times New Roman" w:cs="Tahoma"/>
          <w:b/>
          <w:color w:val="000000"/>
          <w:sz w:val="20"/>
          <w:szCs w:val="20"/>
          <w:lang w:eastAsia="tr-TR"/>
        </w:rPr>
        <w:lastRenderedPageBreak/>
        <w:t>Büyüme Oranı:</w:t>
      </w:r>
      <w:r w:rsidRPr="001F121E">
        <w:rPr>
          <w:rFonts w:ascii="Arial" w:hAnsi="Arial" w:cs="Arial"/>
          <w:b/>
          <w:bCs/>
          <w:color w:val="212529"/>
          <w:sz w:val="18"/>
          <w:szCs w:val="18"/>
          <w:shd w:val="clear" w:color="auto" w:fill="FFFFFF"/>
        </w:rPr>
        <w:t xml:space="preserve"> </w:t>
      </w:r>
      <w:r>
        <w:rPr>
          <w:rFonts w:ascii="Arial" w:hAnsi="Arial" w:cs="Arial"/>
          <w:b/>
          <w:bCs/>
          <w:color w:val="212529"/>
          <w:sz w:val="18"/>
          <w:szCs w:val="18"/>
          <w:shd w:val="clear" w:color="auto" w:fill="FFFFFF"/>
        </w:rPr>
        <w:t>1,9 (2018-IMF Tahmini)</w:t>
      </w:r>
      <w:r w:rsidRPr="00C349CF">
        <w:rPr>
          <w:rFonts w:ascii="Tahoma" w:hAnsi="Tahoma" w:eastAsia="Times New Roman" w:cs="Tahoma"/>
          <w:color w:val="000000"/>
          <w:sz w:val="20"/>
          <w:szCs w:val="20"/>
          <w:lang w:eastAsia="tr-TR"/>
        </w:rPr>
        <w:t xml:space="preserve"> </w:t>
      </w:r>
      <w:r w:rsidRPr="00C349CF">
        <w:rPr>
          <w:rFonts w:ascii="Tahoma" w:hAnsi="Tahoma" w:eastAsia="Times New Roman" w:cs="Tahoma"/>
          <w:b/>
          <w:color w:val="000000"/>
          <w:sz w:val="20"/>
          <w:szCs w:val="20"/>
          <w:lang w:eastAsia="tr-TR"/>
        </w:rPr>
        <w:t>GSYİH:</w:t>
      </w:r>
      <w:r w:rsidRPr="00C349CF">
        <w:rPr>
          <w:rFonts w:ascii="Tahoma" w:hAnsi="Tahoma" w:eastAsia="Times New Roman" w:cs="Tahoma"/>
          <w:color w:val="000000"/>
          <w:sz w:val="20"/>
          <w:szCs w:val="20"/>
          <w:lang w:eastAsia="tr-TR"/>
        </w:rPr>
        <w:t xml:space="preserve"> </w:t>
      </w:r>
      <w:r>
        <w:rPr>
          <w:rFonts w:ascii="Arial" w:hAnsi="Arial" w:cs="Arial"/>
          <w:b/>
          <w:bCs/>
          <w:color w:val="212529"/>
          <w:sz w:val="18"/>
          <w:szCs w:val="18"/>
          <w:shd w:val="clear" w:color="auto" w:fill="FFFFFF"/>
        </w:rPr>
        <w:t xml:space="preserve">397.270 (Milyon Dolar) (2018-IMF Tahmini) </w:t>
      </w:r>
      <w:r w:rsidRPr="00C349CF">
        <w:rPr>
          <w:rFonts w:ascii="Tahoma" w:hAnsi="Tahoma" w:eastAsia="Times New Roman" w:cs="Tahoma"/>
          <w:b/>
          <w:color w:val="000000"/>
          <w:sz w:val="20"/>
          <w:szCs w:val="20"/>
          <w:lang w:eastAsia="tr-TR"/>
        </w:rPr>
        <w:t>Nüfus:</w:t>
      </w:r>
      <w:r w:rsidRPr="00C349CF">
        <w:rPr>
          <w:rFonts w:ascii="Times New Roman" w:hAnsi="Times New Roman" w:eastAsia="Times New Roman" w:cs="Times New Roman"/>
          <w:sz w:val="24"/>
          <w:szCs w:val="24"/>
          <w:lang w:eastAsia="tr-TR"/>
        </w:rPr>
        <w:t xml:space="preserve"> </w:t>
      </w:r>
      <w:r>
        <w:rPr>
          <w:rFonts w:ascii="Tahoma" w:hAnsi="Tahoma" w:eastAsia="Times New Roman" w:cs="Tahoma"/>
          <w:color w:val="000000"/>
          <w:sz w:val="20"/>
          <w:szCs w:val="20"/>
          <w:lang w:eastAsia="tr-TR"/>
        </w:rPr>
        <w:t xml:space="preserve"> </w:t>
      </w:r>
      <w:r>
        <w:rPr>
          <w:rFonts w:ascii="Arial" w:hAnsi="Arial" w:cs="Arial"/>
          <w:b/>
          <w:bCs/>
          <w:color w:val="212529"/>
          <w:sz w:val="18"/>
          <w:szCs w:val="18"/>
          <w:shd w:val="clear" w:color="auto" w:fill="FFFFFF"/>
        </w:rPr>
        <w:t>193.900.000 (2018-IMF Tahmini)</w:t>
      </w:r>
      <w:r>
        <w:rPr>
          <w:rFonts w:ascii="Tahoma" w:hAnsi="Tahoma" w:eastAsia="Times New Roman" w:cs="Tahoma"/>
          <w:color w:val="000000"/>
          <w:sz w:val="20"/>
          <w:szCs w:val="20"/>
          <w:lang w:eastAsia="tr-TR"/>
        </w:rPr>
        <w:t xml:space="preserve"> </w:t>
      </w:r>
      <w:r w:rsidRPr="00C349CF">
        <w:rPr>
          <w:rFonts w:ascii="Tahoma" w:hAnsi="Tahoma" w:eastAsia="Times New Roman" w:cs="Tahoma"/>
          <w:b/>
          <w:color w:val="000000"/>
          <w:sz w:val="20"/>
          <w:szCs w:val="20"/>
          <w:lang w:eastAsia="tr-TR"/>
        </w:rPr>
        <w:t>Başkent:</w:t>
      </w:r>
      <w:r>
        <w:rPr>
          <w:rFonts w:ascii="Tahoma" w:hAnsi="Tahoma" w:eastAsia="Times New Roman" w:cs="Tahoma"/>
          <w:b/>
          <w:color w:val="000000"/>
          <w:sz w:val="20"/>
          <w:szCs w:val="20"/>
          <w:lang w:eastAsia="tr-TR"/>
        </w:rPr>
        <w:t xml:space="preserve"> </w:t>
      </w:r>
      <w:r w:rsidRPr="001F121E">
        <w:rPr>
          <w:rFonts w:ascii="Tahoma" w:hAnsi="Tahoma" w:eastAsia="Times New Roman" w:cs="Tahoma"/>
          <w:color w:val="000000"/>
          <w:sz w:val="20"/>
          <w:szCs w:val="20"/>
          <w:lang w:eastAsia="tr-TR"/>
        </w:rPr>
        <w:t xml:space="preserve">Abuja </w:t>
      </w:r>
      <w:r w:rsidRPr="00C349CF">
        <w:rPr>
          <w:rFonts w:ascii="Tahoma" w:hAnsi="Tahoma" w:eastAsia="Times New Roman" w:cs="Tahoma"/>
          <w:color w:val="000000"/>
          <w:sz w:val="20"/>
          <w:szCs w:val="20"/>
          <w:lang w:eastAsia="tr-TR"/>
        </w:rPr>
        <w:t xml:space="preserve"> </w:t>
      </w:r>
      <w:r>
        <w:rPr>
          <w:rFonts w:ascii="Tahoma" w:hAnsi="Tahoma" w:eastAsia="Times New Roman" w:cs="Tahoma"/>
          <w:b/>
          <w:color w:val="000000"/>
          <w:sz w:val="20"/>
          <w:szCs w:val="20"/>
          <w:lang w:eastAsia="tr-TR"/>
        </w:rPr>
        <w:t xml:space="preserve">Para Birimi: </w:t>
      </w:r>
      <w:r w:rsidRPr="001F121E">
        <w:rPr>
          <w:rFonts w:ascii="Tahoma" w:hAnsi="Tahoma" w:eastAsia="Times New Roman" w:cs="Tahoma"/>
          <w:color w:val="000000"/>
          <w:sz w:val="20"/>
          <w:szCs w:val="20"/>
          <w:lang w:eastAsia="tr-TR"/>
        </w:rPr>
        <w:t>Nijerya Nairası</w:t>
      </w:r>
    </w:p>
    <w:p w:rsidR="00304198" w:rsidRDefault="00304198"/>
    <w:p w:rsidRPr="00302ED9" w:rsidR="001F121E" w:rsidP="001F121E" w:rsidRDefault="001F121E">
      <w:pPr>
        <w:spacing w:after="100" w:afterAutospacing="1" w:line="240" w:lineRule="auto"/>
        <w:jc w:val="both"/>
        <w:outlineLvl w:val="2"/>
        <w:rPr>
          <w:rFonts w:ascii="Arial" w:hAnsi="Arial" w:eastAsia="Times New Roman" w:cs="Arial"/>
          <w:b/>
          <w:color w:val="212529"/>
          <w:sz w:val="27"/>
          <w:szCs w:val="27"/>
          <w:lang w:eastAsia="tr-TR"/>
        </w:rPr>
      </w:pPr>
      <w:r w:rsidRPr="00302ED9">
        <w:rPr>
          <w:rFonts w:ascii="Arial" w:hAnsi="Arial" w:eastAsia="Times New Roman" w:cs="Arial"/>
          <w:b/>
          <w:color w:val="212529"/>
          <w:sz w:val="27"/>
          <w:szCs w:val="27"/>
          <w:lang w:eastAsia="tr-TR"/>
        </w:rPr>
        <w:t>GENEL EKONOMİK DURUM</w:t>
      </w:r>
    </w:p>
    <w:p w:rsidRPr="00302ED9" w:rsidR="001F121E" w:rsidP="001F121E" w:rsidRDefault="001F121E">
      <w:pPr>
        <w:spacing w:after="100" w:afterAutospacing="1" w:line="240" w:lineRule="auto"/>
        <w:jc w:val="both"/>
        <w:rPr>
          <w:rFonts w:ascii="Arial" w:hAnsi="Arial" w:eastAsia="Times New Roman" w:cs="Arial"/>
          <w:color w:val="212529"/>
          <w:sz w:val="24"/>
          <w:szCs w:val="24"/>
          <w:lang w:eastAsia="tr-TR"/>
        </w:rPr>
      </w:pPr>
      <w:r w:rsidRPr="001F121E">
        <w:rPr>
          <w:rFonts w:ascii="Arial" w:hAnsi="Arial" w:eastAsia="Times New Roman" w:cs="Arial"/>
          <w:color w:val="212529"/>
          <w:sz w:val="24"/>
          <w:szCs w:val="24"/>
          <w:lang w:eastAsia="tr-TR"/>
        </w:rPr>
        <w:br/>
      </w:r>
      <w:r w:rsidRPr="00302ED9">
        <w:rPr>
          <w:rFonts w:ascii="Times New Roman" w:hAnsi="Times New Roman" w:eastAsia="Times New Roman" w:cs="Times New Roman"/>
          <w:b/>
          <w:bCs/>
          <w:iCs/>
          <w:color w:val="212529"/>
          <w:sz w:val="27"/>
          <w:szCs w:val="27"/>
          <w:lang w:eastAsia="tr-TR"/>
        </w:rPr>
        <w:t>Temel Ekonomik Göstergeler</w:t>
      </w:r>
    </w:p>
    <w:tbl>
      <w:tblPr>
        <w:tblW w:w="0" w:type="auto"/>
        <w:tblInd w:w="113" w:type="dxa"/>
        <w:tblCellMar>
          <w:left w:w="0" w:type="dxa"/>
          <w:right w:w="0" w:type="dxa"/>
        </w:tblCellMar>
        <w:tblLook w:val="04A0" w:firstRow="1" w:lastRow="0" w:firstColumn="1" w:lastColumn="0" w:noHBand="0" w:noVBand="1"/>
      </w:tblPr>
      <w:tblGrid>
        <w:gridCol w:w="3690"/>
        <w:gridCol w:w="1099"/>
        <w:gridCol w:w="1219"/>
        <w:gridCol w:w="1219"/>
        <w:gridCol w:w="1140"/>
        <w:gridCol w:w="1140"/>
      </w:tblGrid>
      <w:tr w:rsidRPr="001F121E" w:rsidR="001F121E" w:rsidTr="001F121E">
        <w:trPr>
          <w:trHeight w:val="300"/>
        </w:trPr>
        <w:tc>
          <w:tcPr>
            <w:tcW w:w="3690" w:type="dxa"/>
            <w:tcBorders>
              <w:top w:val="nil"/>
              <w:left w:val="nil"/>
              <w:bottom w:val="single" w:color="FFFFFF" w:sz="18" w:space="0"/>
              <w:right w:val="single" w:color="FFFFFF" w:sz="18" w:space="0"/>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Arial" w:hAnsi="Arial" w:eastAsia="Times New Roman" w:cs="Arial"/>
                <w:color w:val="212529"/>
                <w:sz w:val="24"/>
                <w:szCs w:val="24"/>
                <w:lang w:eastAsia="tr-TR"/>
              </w:rPr>
              <w:t> </w:t>
            </w:r>
          </w:p>
        </w:tc>
        <w:tc>
          <w:tcPr>
            <w:tcW w:w="1140"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2016</w:t>
            </w:r>
          </w:p>
        </w:tc>
        <w:tc>
          <w:tcPr>
            <w:tcW w:w="1275"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2017</w:t>
            </w:r>
          </w:p>
        </w:tc>
        <w:tc>
          <w:tcPr>
            <w:tcW w:w="1275"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2018</w:t>
            </w:r>
          </w:p>
        </w:tc>
        <w:tc>
          <w:tcPr>
            <w:tcW w:w="1140" w:type="dxa"/>
            <w:tcBorders>
              <w:top w:val="nil"/>
              <w:left w:val="nil"/>
              <w:bottom w:val="single" w:color="FFFFFF" w:sz="18" w:space="0"/>
              <w:right w:val="single" w:color="FFFFFF" w:sz="18" w:space="0"/>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2019</w:t>
            </w:r>
          </w:p>
        </w:tc>
        <w:tc>
          <w:tcPr>
            <w:tcW w:w="1140" w:type="dxa"/>
            <w:tcBorders>
              <w:top w:val="nil"/>
              <w:left w:val="nil"/>
              <w:bottom w:val="single" w:color="FFFFFF" w:sz="18" w:space="0"/>
              <w:right w:val="nil"/>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2020</w:t>
            </w:r>
          </w:p>
        </w:tc>
      </w:tr>
      <w:tr w:rsidRPr="001F121E" w:rsidR="001F121E" w:rsidTr="001F121E">
        <w:trPr>
          <w:trHeight w:val="300"/>
        </w:trPr>
        <w:tc>
          <w:tcPr>
            <w:tcW w:w="3690" w:type="dxa"/>
            <w:tcBorders>
              <w:top w:val="nil"/>
              <w:left w:val="nil"/>
              <w:bottom w:val="single" w:color="FFFFFF" w:sz="18" w:space="0"/>
              <w:right w:val="single" w:color="FFFFFF" w:sz="18" w:space="0"/>
            </w:tcBorders>
            <w:shd w:val="clear" w:color="auto" w:fill="F2F2F2"/>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b/>
                <w:bCs/>
                <w:color w:val="212529"/>
                <w:lang w:eastAsia="tr-TR"/>
              </w:rPr>
              <w:t>GSYİH (milyar $)</w:t>
            </w:r>
          </w:p>
        </w:tc>
        <w:tc>
          <w:tcPr>
            <w:tcW w:w="1140"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405</w:t>
            </w:r>
          </w:p>
        </w:tc>
        <w:tc>
          <w:tcPr>
            <w:tcW w:w="1275"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376</w:t>
            </w:r>
          </w:p>
        </w:tc>
        <w:tc>
          <w:tcPr>
            <w:tcW w:w="1275"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397</w:t>
            </w:r>
          </w:p>
        </w:tc>
        <w:tc>
          <w:tcPr>
            <w:tcW w:w="1140" w:type="dxa"/>
            <w:tcBorders>
              <w:top w:val="nil"/>
              <w:left w:val="nil"/>
              <w:bottom w:val="single" w:color="FFFFFF" w:sz="18" w:space="0"/>
              <w:right w:val="single" w:color="FFFFFF" w:sz="18" w:space="0"/>
            </w:tcBorders>
            <w:shd w:val="clear" w:color="auto" w:fill="F2F2F2"/>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445</w:t>
            </w:r>
          </w:p>
        </w:tc>
        <w:tc>
          <w:tcPr>
            <w:tcW w:w="1140" w:type="dxa"/>
            <w:tcBorders>
              <w:top w:val="nil"/>
              <w:left w:val="nil"/>
              <w:bottom w:val="single" w:color="FFFFFF" w:sz="18" w:space="0"/>
              <w:right w:val="nil"/>
            </w:tcBorders>
            <w:shd w:val="clear" w:color="auto" w:fill="F2F2F2"/>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496</w:t>
            </w:r>
          </w:p>
        </w:tc>
      </w:tr>
      <w:tr w:rsidRPr="001F121E" w:rsidR="001F121E" w:rsidTr="001F121E">
        <w:trPr>
          <w:trHeight w:val="300"/>
        </w:trPr>
        <w:tc>
          <w:tcPr>
            <w:tcW w:w="3690" w:type="dxa"/>
            <w:tcBorders>
              <w:top w:val="nil"/>
              <w:left w:val="nil"/>
              <w:bottom w:val="single" w:color="FFFFFF" w:sz="18" w:space="0"/>
              <w:right w:val="single" w:color="FFFFFF" w:sz="18" w:space="0"/>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b/>
                <w:bCs/>
                <w:color w:val="212529"/>
                <w:lang w:eastAsia="tr-TR"/>
              </w:rPr>
              <w:t>Reel büyüme (%)</w:t>
            </w:r>
          </w:p>
        </w:tc>
        <w:tc>
          <w:tcPr>
            <w:tcW w:w="1140"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-1,6</w:t>
            </w:r>
          </w:p>
        </w:tc>
        <w:tc>
          <w:tcPr>
            <w:tcW w:w="1275"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0,8</w:t>
            </w:r>
          </w:p>
        </w:tc>
        <w:tc>
          <w:tcPr>
            <w:tcW w:w="1275"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1,9</w:t>
            </w:r>
          </w:p>
        </w:tc>
        <w:tc>
          <w:tcPr>
            <w:tcW w:w="1140" w:type="dxa"/>
            <w:tcBorders>
              <w:top w:val="nil"/>
              <w:left w:val="nil"/>
              <w:bottom w:val="single" w:color="FFFFFF" w:sz="18" w:space="0"/>
              <w:right w:val="single" w:color="FFFFFF" w:sz="18" w:space="0"/>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2,1</w:t>
            </w:r>
          </w:p>
        </w:tc>
        <w:tc>
          <w:tcPr>
            <w:tcW w:w="1140" w:type="dxa"/>
            <w:tcBorders>
              <w:top w:val="nil"/>
              <w:left w:val="nil"/>
              <w:bottom w:val="single" w:color="FFFFFF" w:sz="18" w:space="0"/>
              <w:right w:val="nil"/>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2,5</w:t>
            </w:r>
          </w:p>
        </w:tc>
      </w:tr>
      <w:tr w:rsidRPr="001F121E" w:rsidR="001F121E" w:rsidTr="001F121E">
        <w:trPr>
          <w:trHeight w:val="300"/>
        </w:trPr>
        <w:tc>
          <w:tcPr>
            <w:tcW w:w="3690" w:type="dxa"/>
            <w:tcBorders>
              <w:top w:val="nil"/>
              <w:left w:val="nil"/>
              <w:bottom w:val="single" w:color="FFFFFF" w:sz="18" w:space="0"/>
              <w:right w:val="single" w:color="FFFFFF" w:sz="18" w:space="0"/>
            </w:tcBorders>
            <w:shd w:val="clear" w:color="auto" w:fill="F2F2F2"/>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b/>
                <w:bCs/>
                <w:color w:val="212529"/>
                <w:lang w:eastAsia="tr-TR"/>
              </w:rPr>
              <w:t>Kişi başına GSYİH (SAGP,$)</w:t>
            </w:r>
          </w:p>
        </w:tc>
        <w:tc>
          <w:tcPr>
            <w:tcW w:w="1140"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5.943</w:t>
            </w:r>
          </w:p>
        </w:tc>
        <w:tc>
          <w:tcPr>
            <w:tcW w:w="1275"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5.941</w:t>
            </w:r>
          </w:p>
        </w:tc>
        <w:tc>
          <w:tcPr>
            <w:tcW w:w="1275"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6.027</w:t>
            </w:r>
          </w:p>
        </w:tc>
        <w:tc>
          <w:tcPr>
            <w:tcW w:w="1140" w:type="dxa"/>
            <w:tcBorders>
              <w:top w:val="nil"/>
              <w:left w:val="nil"/>
              <w:bottom w:val="single" w:color="FFFFFF" w:sz="18" w:space="0"/>
              <w:right w:val="single" w:color="FFFFFF" w:sz="18" w:space="0"/>
            </w:tcBorders>
            <w:shd w:val="clear" w:color="auto" w:fill="F2F2F2"/>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6.098</w:t>
            </w:r>
          </w:p>
        </w:tc>
        <w:tc>
          <w:tcPr>
            <w:tcW w:w="1140" w:type="dxa"/>
            <w:tcBorders>
              <w:top w:val="nil"/>
              <w:left w:val="nil"/>
              <w:bottom w:val="single" w:color="FFFFFF" w:sz="18" w:space="0"/>
              <w:right w:val="nil"/>
            </w:tcBorders>
            <w:shd w:val="clear" w:color="auto" w:fill="F2F2F2"/>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6.213</w:t>
            </w:r>
          </w:p>
        </w:tc>
      </w:tr>
      <w:tr w:rsidRPr="001F121E" w:rsidR="001F121E" w:rsidTr="001F121E">
        <w:trPr>
          <w:trHeight w:val="300"/>
        </w:trPr>
        <w:tc>
          <w:tcPr>
            <w:tcW w:w="3690" w:type="dxa"/>
            <w:tcBorders>
              <w:top w:val="nil"/>
              <w:left w:val="nil"/>
              <w:bottom w:val="single" w:color="FFFFFF" w:sz="18" w:space="0"/>
              <w:right w:val="single" w:color="FFFFFF" w:sz="18" w:space="0"/>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b/>
                <w:bCs/>
                <w:color w:val="212529"/>
                <w:lang w:eastAsia="tr-TR"/>
              </w:rPr>
              <w:t>Tüketici enflasyonu (dönem sonu %)</w:t>
            </w:r>
          </w:p>
        </w:tc>
        <w:tc>
          <w:tcPr>
            <w:tcW w:w="1140"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18,5</w:t>
            </w:r>
          </w:p>
        </w:tc>
        <w:tc>
          <w:tcPr>
            <w:tcW w:w="1275"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15,4</w:t>
            </w:r>
          </w:p>
        </w:tc>
        <w:tc>
          <w:tcPr>
            <w:tcW w:w="1275"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11,4</w:t>
            </w:r>
          </w:p>
        </w:tc>
        <w:tc>
          <w:tcPr>
            <w:tcW w:w="1140" w:type="dxa"/>
            <w:tcBorders>
              <w:top w:val="nil"/>
              <w:left w:val="nil"/>
              <w:bottom w:val="single" w:color="FFFFFF" w:sz="18" w:space="0"/>
              <w:right w:val="single" w:color="FFFFFF" w:sz="18" w:space="0"/>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12,1</w:t>
            </w:r>
          </w:p>
        </w:tc>
        <w:tc>
          <w:tcPr>
            <w:tcW w:w="1140" w:type="dxa"/>
            <w:tcBorders>
              <w:top w:val="nil"/>
              <w:left w:val="nil"/>
              <w:bottom w:val="single" w:color="FFFFFF" w:sz="18" w:space="0"/>
              <w:right w:val="nil"/>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11,7</w:t>
            </w:r>
          </w:p>
        </w:tc>
      </w:tr>
      <w:tr w:rsidRPr="001F121E" w:rsidR="001F121E" w:rsidTr="001F121E">
        <w:trPr>
          <w:trHeight w:val="300"/>
        </w:trPr>
        <w:tc>
          <w:tcPr>
            <w:tcW w:w="3690" w:type="dxa"/>
            <w:tcBorders>
              <w:top w:val="nil"/>
              <w:left w:val="nil"/>
              <w:bottom w:val="single" w:color="FFFFFF" w:sz="18" w:space="0"/>
              <w:right w:val="single" w:color="FFFFFF" w:sz="18" w:space="0"/>
            </w:tcBorders>
            <w:shd w:val="clear" w:color="auto" w:fill="F2F2F2"/>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b/>
                <w:bCs/>
                <w:color w:val="212529"/>
                <w:lang w:eastAsia="tr-TR"/>
              </w:rPr>
              <w:t>Cari İşlemler Dengesi (milyar $)</w:t>
            </w:r>
          </w:p>
        </w:tc>
        <w:tc>
          <w:tcPr>
            <w:tcW w:w="1140"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2,7</w:t>
            </w:r>
          </w:p>
        </w:tc>
        <w:tc>
          <w:tcPr>
            <w:tcW w:w="1275"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10,4</w:t>
            </w:r>
          </w:p>
        </w:tc>
        <w:tc>
          <w:tcPr>
            <w:tcW w:w="1275"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8,5</w:t>
            </w:r>
          </w:p>
        </w:tc>
        <w:tc>
          <w:tcPr>
            <w:tcW w:w="1140" w:type="dxa"/>
            <w:tcBorders>
              <w:top w:val="nil"/>
              <w:left w:val="nil"/>
              <w:bottom w:val="single" w:color="FFFFFF" w:sz="18" w:space="0"/>
              <w:right w:val="single" w:color="FFFFFF" w:sz="18" w:space="0"/>
            </w:tcBorders>
            <w:shd w:val="clear" w:color="auto" w:fill="F2F2F2"/>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-1,6</w:t>
            </w:r>
          </w:p>
        </w:tc>
        <w:tc>
          <w:tcPr>
            <w:tcW w:w="1140" w:type="dxa"/>
            <w:tcBorders>
              <w:top w:val="nil"/>
              <w:left w:val="nil"/>
              <w:bottom w:val="single" w:color="FFFFFF" w:sz="18" w:space="0"/>
              <w:right w:val="nil"/>
            </w:tcBorders>
            <w:shd w:val="clear" w:color="auto" w:fill="F2F2F2"/>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-1,0</w:t>
            </w:r>
          </w:p>
        </w:tc>
      </w:tr>
      <w:tr w:rsidRPr="001F121E" w:rsidR="001F121E" w:rsidTr="001F121E">
        <w:trPr>
          <w:trHeight w:val="300"/>
        </w:trPr>
        <w:tc>
          <w:tcPr>
            <w:tcW w:w="3690" w:type="dxa"/>
            <w:tcBorders>
              <w:top w:val="nil"/>
              <w:left w:val="nil"/>
              <w:bottom w:val="nil"/>
              <w:right w:val="single" w:color="FFFFFF" w:sz="18" w:space="0"/>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b/>
                <w:bCs/>
                <w:color w:val="212529"/>
                <w:lang w:eastAsia="tr-TR"/>
              </w:rPr>
              <w:t>Nüfus (milyon)</w:t>
            </w:r>
          </w:p>
        </w:tc>
        <w:tc>
          <w:tcPr>
            <w:tcW w:w="1140" w:type="dxa"/>
            <w:tcBorders>
              <w:top w:val="nil"/>
              <w:left w:val="nil"/>
              <w:bottom w:val="nil"/>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184</w:t>
            </w:r>
          </w:p>
        </w:tc>
        <w:tc>
          <w:tcPr>
            <w:tcW w:w="1275" w:type="dxa"/>
            <w:tcBorders>
              <w:top w:val="nil"/>
              <w:left w:val="nil"/>
              <w:bottom w:val="nil"/>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189</w:t>
            </w:r>
          </w:p>
        </w:tc>
        <w:tc>
          <w:tcPr>
            <w:tcW w:w="1275" w:type="dxa"/>
            <w:tcBorders>
              <w:top w:val="nil"/>
              <w:left w:val="nil"/>
              <w:bottom w:val="nil"/>
              <w:right w:val="single" w:color="FFFFFF" w:sz="18" w:space="0"/>
            </w:tcBorders>
            <w:shd w:val="clear" w:color="auto" w:fill="CCCCCC"/>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194</w:t>
            </w:r>
          </w:p>
        </w:tc>
        <w:tc>
          <w:tcPr>
            <w:tcW w:w="1140" w:type="dxa"/>
            <w:tcBorders>
              <w:top w:val="nil"/>
              <w:left w:val="nil"/>
              <w:bottom w:val="nil"/>
              <w:right w:val="single" w:color="FFFFFF" w:sz="18" w:space="0"/>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199</w:t>
            </w:r>
          </w:p>
        </w:tc>
        <w:tc>
          <w:tcPr>
            <w:tcW w:w="1140" w:type="dxa"/>
            <w:tcBorders>
              <w:top w:val="nil"/>
              <w:left w:val="nil"/>
              <w:bottom w:val="nil"/>
              <w:right w:val="nil"/>
            </w:tcBorders>
            <w:shd w:val="clear" w:color="auto" w:fill="CCCCCC"/>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lang w:eastAsia="tr-TR"/>
              </w:rPr>
            </w:pPr>
            <w:r w:rsidRPr="001F121E">
              <w:rPr>
                <w:rFonts w:ascii="Times New Roman" w:hAnsi="Times New Roman" w:eastAsia="Times New Roman" w:cs="Times New Roman"/>
                <w:color w:val="000000"/>
                <w:lang w:eastAsia="tr-TR"/>
              </w:rPr>
              <w:t>205</w:t>
            </w:r>
          </w:p>
        </w:tc>
      </w:tr>
    </w:tbl>
    <w:p w:rsidR="001F121E" w:rsidP="001F121E" w:rsidRDefault="001F121E">
      <w:pPr>
        <w:spacing w:after="100" w:afterAutospacing="1" w:line="240" w:lineRule="auto"/>
        <w:jc w:val="both"/>
        <w:rPr>
          <w:rFonts w:ascii="Times New Roman" w:hAnsi="Times New Roman" w:eastAsia="Times New Roman" w:cs="Times New Roman"/>
          <w:color w:val="212529"/>
          <w:sz w:val="20"/>
          <w:szCs w:val="20"/>
          <w:lang w:eastAsia="tr-TR"/>
        </w:rPr>
      </w:pPr>
      <w:r>
        <w:rPr>
          <w:rFonts w:ascii="Times New Roman" w:hAnsi="Times New Roman" w:eastAsia="Times New Roman" w:cs="Times New Roman"/>
          <w:color w:val="212529"/>
          <w:sz w:val="20"/>
          <w:szCs w:val="20"/>
          <w:lang w:eastAsia="tr-TR"/>
        </w:rPr>
        <w:t>Kaynak:</w:t>
      </w:r>
      <w:r w:rsidRPr="001F121E">
        <w:rPr>
          <w:rFonts w:ascii="Times New Roman" w:hAnsi="Times New Roman" w:eastAsia="Times New Roman" w:cs="Times New Roman"/>
          <w:color w:val="212529"/>
          <w:sz w:val="20"/>
          <w:szCs w:val="20"/>
          <w:lang w:eastAsia="tr-TR"/>
        </w:rPr>
        <w:t>IMF (2019 Nisan)</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ascii="Arial" w:hAnsi="Arial" w:eastAsia="Times New Roman" w:cs="Arial"/>
          <w:color w:val="212529"/>
          <w:sz w:val="24"/>
          <w:szCs w:val="24"/>
          <w:lang w:eastAsia="tr-TR"/>
        </w:rPr>
        <w:br/>
      </w:r>
      <w:r w:rsidRPr="001F121E">
        <w:rPr>
          <w:rFonts w:eastAsia="Times New Roman" w:cs="Arial"/>
          <w:color w:val="212529"/>
          <w:lang w:eastAsia="tr-TR"/>
        </w:rPr>
        <w:t> 2009 yılında 270 milyar dolar seviyesindeki GSYİH, 2014 yılında 568 milyar dolarla zirve yapmıştır. 2015, 2016 ve 2017 yıllarında ise düşüşe geçerek sırasıyla 494 milyar dolar, 405 milyar dolar ve 376 milyar dolar olarak gerçekleşmiştir. Milli gelirin 2018 yılında yaklaşık 409 milyar dolar, 2019 yılında ise yaklaşık 476 milyar dolar olacağı tahmin edilmektedir (IMF).</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Dünya Bankasına göre, 2015 yılı GSYİH’sı içinde tarımın payı %21, sanayinin %18,5 ve hizmetler sektörünün payı %60’dır.</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KDV oranı %5’tir. Nijerya, Afrika’nın (ECOWAS dahil) en düşük KDV oranına sahip ülkesidir. IMF, düşen petrol gelirlerini mahsuben, bütçe gelirlerinin artırılması amacıyla KDV oranının yükseltilmesini ve vergi tabanının genişletilmesini tavsiye etmektedir.</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7,3 trilyon Naira olan 2017 federal kamu bütçesinin 2018 yılında 8,6 trilyon Naira (28,2 milyar dolar) olması planlanmaktadır. (Bütçe Bakanlığı: </w:t>
      </w:r>
      <w:hyperlink w:history="1" r:id="rId9">
        <w:r w:rsidRPr="001F121E">
          <w:rPr>
            <w:rFonts w:eastAsia="Times New Roman" w:cs="Arial"/>
            <w:color w:val="007BFF"/>
            <w:lang w:eastAsia="tr-TR"/>
          </w:rPr>
          <w:t>http://www.nationalplanning.gov.ng/</w:t>
        </w:r>
      </w:hyperlink>
      <w:r w:rsidRPr="001F121E">
        <w:rPr>
          <w:rFonts w:eastAsia="Times New Roman" w:cs="Arial"/>
          <w:color w:val="212529"/>
          <w:lang w:eastAsia="tr-TR"/>
        </w:rPr>
        <w:t>). Hükümet 2017 bütçesinde öngörülen geliri sağlayamamıştır. Döviz gelirindeki azalma, ithalatın finansmanını da olumsuz etkilemektedir. 2016 yılında başlayan ekonomik durgunluk (resesyon) 2017 yılının ikinci çeyreğinin bitimi itibarıyla sonlanmıştır. 2018 yılı büyümesi ise, IMF tarafından %1,9; Dünya Bankası tarafından %2,5; Moody’s tarafından %3,3 olarak tahmin edilmektedir.</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Milli gelirdeki artış veya azalışta, petrol üretimi ve uluslararası piyasa fiyatlarından kaynaklanan gelir artışı (veya azalışı) etkili olmaktadır. Zira ekonomisi petrole dayanan Nijerya, toplam 37 milyar varille dünyanın 9. büyük rezervine sahip olup, 2016 yılında 14. büyük petrol üreticisi (1,4 milyon varil/gün) ve 9. büyük petrol ihracatçısı (1,7 milyon varil/gün) ülke olmuştur (OPEC).</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 xml:space="preserve">Nijerya’nın 2017 yılındaki yaklaşık 41 milyar dolarlık ihracatının 33 milyar dolarlık (%81’lik) kısmı ham petrol (GTİP:2709); 5,7 milyar dolarlık (%14’lük) bölümü doğal gazdan (GTİP:2711) oluşmaktadır. Bahse </w:t>
      </w:r>
      <w:r w:rsidRPr="001F121E">
        <w:rPr>
          <w:rFonts w:eastAsia="Times New Roman" w:cs="Arial"/>
          <w:color w:val="212529"/>
          <w:lang w:eastAsia="tr-TR"/>
        </w:rPr>
        <w:lastRenderedPageBreak/>
        <w:t>konu iki ürün ihracatı, toplam ihracatının %95’ine denk gelmektedir. Hindistan (%19,9) en büyük ham petrol ithalatçısıdır. Diğer ülkeler ABD (%14,4), İspanya (%9,6), Hollanda (%9,3) ve Fransa’dır (%7,4).</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Ancak, ülkenin en önemli petrol sahasını oluşturan Nijer Deltası’ndaki siyasi gerilim ve petrol tesislerine yönelik sabotajlar, ülkenin %100 kapasite ile petrol üretim ve ihracatını engellemektedir. Nijer Deltası bölgesi, aynı zamanda ülkenin en yoğun nüfuslu ve en fakir bölgelerinden biridir. 2005 yılında 2,3 milyon varil/gün olan petrol üretimi, petrol altyapısına yapılan saldırılar nedeniyle 2016 yılında 1,4 milyon varil/gün seviyesine kadar gerilemiştir (OPEC). İç güvenlik sorunu ve üretim azalmasına ilaveten uluslararası piyasalarda 2014 yılının ikinci yarısından beri petrol fiyatının %50-60 oranında düşük seyretmesinin de etkisiyle Nijerya’nın 2012 yılına ait 99 milyar dolar düzeyindeki ham petrolden elde edilen ihracat gelirinin 2016 yılında 27 milyar dolara düşmesine yol açmıştır. Petrol satışı, miktar bazında da düşüş içindedir. Ham petrol rafineri işleme kapasitesi toplam 446 bin varil/gündür.</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Kaliteli ve ucuz maliyetli petrolünün yanında, dünyanın 9. büyük doğal gaz rezervine de (5,2 trilyon m3) sahip bulunmaktadır. Üretim miktarı 85 milyar m3, ihracatı ise 27 milyar m3’tür. Afrika’da Cezayir’den sonraki tek doğal gaz ihracatçısıdır. 2016 yılında 4,6 milyar dolarlık gaz ihracatının %17’sini İspanya, %11’ini Hindistan, %9’unu da Japonya ithal etmiştir.</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Tüm bu gelişmelere rağmen, Nijerya mülkiyet edinme, inşaat izinlerinin çıkarılması, uluslararası ticaret ve vergi ödeme gibi hususlarda yaşanan sıkıntılar sebebiyle iş yapmanın zor olduğu bir ülke olarak değerlendirilmektedir. Nijerya, Dünya Bankası’nın raporlarına göre iş yapmanın oldukça zor olduğu ülkeler arasında yer almaktadır. Dünya Bankasına göre, iş yapma kolaylığı açısından 190 ülke arasında 169. sırada yer almaktadır. (Dünya Bankası 2017)</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Nijerya dünyada gelir dağılımının en bozuk olduğu ilk 10 ülke arasında yer almaktadır. Güney Afrika Cumhuriyeti ve Kenya’dan sonra gelir dağılımının en kötü olduğu 3. ülkedir. Yolsuzluk Algılama Endeksinde 183 ülke arasında 143. sırada yer almıştır.</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Ülkenin hane halkı başına en az harcamanın yapıldığı bölge ise Kuzey-Doğu Bölgesi’dir. Tarihsel olarak bu bölge, hayati limanlara sahip olan kıyı şeridindeki bölgelerden daha az refaha sahip olmuştur. Kişi başına gelir kuzeyde, güneye göre %50 daha azdır.</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IMF’nin 2018 yılında Nijerya ekonomisiyle ilgili yayımlanan bir raporunda, Nijerya’nın artan petrol fiyatlarının ve yeni döviz tedbirlerinin yardımıyla durgunluktan çıkışı ve döviz rezervlerindeki güçlü toparlanma memnuniyetle karşılanmıştır. Döviz kurlarında bir yakınsama başlangıcı, sıkı para politikası, vergi idaresindeki iyileştirmeler ve iş (ticaret) ortamının iyileştirilmesinde önemli adımlar atılması da dahil olmak üzere Ekonomik İyileşme ve Büyüme Planının uygulanmasındaki ilerleme takdir edilmiştir. Bununla birlikte, IMF, petrol dışı, tarım dışı sektördeki büyümenin artmadığı için önemli zorlukların devam ettiğini; enflasyonun yüksek ve yapışkan kaldığını; işsizliğin arttığını ve yoksulluğun yüksek olduğunu belirtmiştir. Bu açıkların giderilmesi için kapsamlı ve tutarlı politika eylemlerinin acil olarak uygulanması gerektiği ifade edilmiştir.</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IMF, Nijerya ekonomisindeki kırılganlıkların düzeltilmesi ve yüksek kişi başı büyüme oranlarının elde edilebilmesinin kapsamlı politikaların acilen uygulanması yoluyla olacağını belirtmiştir. IMF,  bu politikaların uygulanmasının artan petrol fiyatları ve yaklaşan seçimler nedeniyle geciktirilmemesinin önemini de vurgulamıştır.</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color w:val="212529"/>
          <w:lang w:eastAsia="tr-TR"/>
        </w:rPr>
        <w:t> </w:t>
      </w:r>
    </w:p>
    <w:p w:rsidRPr="001F121E" w:rsidR="001F121E" w:rsidP="001F121E" w:rsidRDefault="001F121E">
      <w:pPr>
        <w:spacing w:after="100" w:afterAutospacing="1" w:line="240" w:lineRule="auto"/>
        <w:jc w:val="both"/>
        <w:rPr>
          <w:rFonts w:eastAsia="Times New Roman" w:cs="Arial"/>
          <w:color w:val="212529"/>
          <w:lang w:eastAsia="tr-TR"/>
        </w:rPr>
      </w:pPr>
      <w:r w:rsidRPr="001F121E">
        <w:rPr>
          <w:rFonts w:eastAsia="Times New Roman" w:cs="Arial"/>
          <w:b/>
          <w:bCs/>
          <w:color w:val="212529"/>
          <w:lang w:eastAsia="tr-TR"/>
        </w:rPr>
        <w:lastRenderedPageBreak/>
        <w:t>IMF tarafından tavsiye edilen politikalar şunlardır:</w:t>
      </w:r>
    </w:p>
    <w:p w:rsidRPr="001F121E" w:rsidR="001F121E" w:rsidP="001F121E" w:rsidRDefault="001F121E">
      <w:pPr>
        <w:numPr>
          <w:ilvl w:val="0"/>
          <w:numId w:val="1"/>
        </w:numPr>
        <w:spacing w:before="100" w:beforeAutospacing="1" w:after="100" w:afterAutospacing="1" w:line="240" w:lineRule="auto"/>
        <w:jc w:val="both"/>
        <w:rPr>
          <w:rFonts w:eastAsia="Times New Roman" w:cs="Arial"/>
          <w:color w:val="212529"/>
          <w:lang w:eastAsia="tr-TR"/>
        </w:rPr>
      </w:pPr>
      <w:r w:rsidRPr="001F121E">
        <w:rPr>
          <w:rFonts w:eastAsia="Times New Roman" w:cs="Arial"/>
          <w:color w:val="212529"/>
          <w:lang w:eastAsia="tr-TR"/>
        </w:rPr>
        <w:t>Büyüme dostu maliye politikasının teşvik edilmesi. Söz konusu maliye politikası şu konulara odaklanmalıdır: Petrol dışı sektörlerden gelen gelir hareketliliğini artıracak girişimler; sermaye harcamalarına öncelik; sağlam borç yönetimi; iyi hedeflenmiş ve ölçeklendirilmiş sosyal güvenlik ağı</w:t>
      </w:r>
    </w:p>
    <w:p w:rsidRPr="001F121E" w:rsidR="001F121E" w:rsidP="001F121E" w:rsidRDefault="001F121E">
      <w:pPr>
        <w:numPr>
          <w:ilvl w:val="0"/>
          <w:numId w:val="1"/>
        </w:numPr>
        <w:spacing w:before="100" w:beforeAutospacing="1" w:after="100" w:afterAutospacing="1" w:line="240" w:lineRule="auto"/>
        <w:jc w:val="both"/>
        <w:rPr>
          <w:rFonts w:eastAsia="Times New Roman" w:cs="Arial"/>
          <w:color w:val="212529"/>
          <w:lang w:eastAsia="tr-TR"/>
        </w:rPr>
      </w:pPr>
      <w:r w:rsidRPr="001F121E">
        <w:rPr>
          <w:rFonts w:eastAsia="Times New Roman" w:cs="Arial"/>
          <w:color w:val="212529"/>
          <w:lang w:eastAsia="tr-TR"/>
        </w:rPr>
        <w:t>Enflasyonun artışını önleyecek şeffaf para politikası</w:t>
      </w:r>
    </w:p>
    <w:p w:rsidRPr="001F121E" w:rsidR="001F121E" w:rsidP="001F121E" w:rsidRDefault="001F121E">
      <w:pPr>
        <w:numPr>
          <w:ilvl w:val="0"/>
          <w:numId w:val="1"/>
        </w:numPr>
        <w:spacing w:before="100" w:beforeAutospacing="1" w:after="100" w:afterAutospacing="1" w:line="240" w:lineRule="auto"/>
        <w:jc w:val="both"/>
        <w:rPr>
          <w:rFonts w:eastAsia="Times New Roman" w:cs="Arial"/>
          <w:color w:val="212529"/>
          <w:lang w:eastAsia="tr-TR"/>
        </w:rPr>
      </w:pPr>
      <w:r w:rsidRPr="001F121E">
        <w:rPr>
          <w:rFonts w:eastAsia="Times New Roman" w:cs="Arial"/>
          <w:color w:val="212529"/>
          <w:lang w:eastAsia="tr-TR"/>
        </w:rPr>
        <w:t>Döviz kuru piyasasındaki çarpıklıkların giderilmesi</w:t>
      </w:r>
    </w:p>
    <w:p w:rsidRPr="001F121E" w:rsidR="001F121E" w:rsidP="001F121E" w:rsidRDefault="001F121E">
      <w:pPr>
        <w:numPr>
          <w:ilvl w:val="0"/>
          <w:numId w:val="1"/>
        </w:numPr>
        <w:spacing w:before="100" w:beforeAutospacing="1" w:after="100" w:afterAutospacing="1" w:line="240" w:lineRule="auto"/>
        <w:jc w:val="both"/>
        <w:rPr>
          <w:rFonts w:eastAsia="Times New Roman" w:cs="Arial"/>
          <w:color w:val="212529"/>
          <w:lang w:eastAsia="tr-TR"/>
        </w:rPr>
      </w:pPr>
      <w:r w:rsidRPr="001F121E">
        <w:rPr>
          <w:rFonts w:eastAsia="Times New Roman" w:cs="Arial"/>
          <w:color w:val="212529"/>
          <w:lang w:eastAsia="tr-TR"/>
        </w:rPr>
        <w:t>Bankacılık sektörünün esnekliğinin artırılması</w:t>
      </w:r>
    </w:p>
    <w:p w:rsidRPr="001F121E" w:rsidR="001F121E" w:rsidP="001F121E" w:rsidRDefault="001F121E">
      <w:pPr>
        <w:numPr>
          <w:ilvl w:val="0"/>
          <w:numId w:val="1"/>
        </w:numPr>
        <w:spacing w:before="100" w:beforeAutospacing="1" w:after="100" w:afterAutospacing="1" w:line="240" w:lineRule="auto"/>
        <w:jc w:val="both"/>
        <w:rPr>
          <w:rFonts w:eastAsia="Times New Roman" w:cs="Arial"/>
          <w:color w:val="212529"/>
          <w:lang w:eastAsia="tr-TR"/>
        </w:rPr>
      </w:pPr>
      <w:r w:rsidRPr="001F121E">
        <w:rPr>
          <w:rFonts w:eastAsia="Times New Roman" w:cs="Arial"/>
          <w:color w:val="212529"/>
          <w:lang w:eastAsia="tr-TR"/>
        </w:rPr>
        <w:t>Enerji sektöründeki reformlar</w:t>
      </w:r>
    </w:p>
    <w:p w:rsidRPr="001F121E" w:rsidR="001F121E" w:rsidP="001F121E" w:rsidRDefault="001F121E">
      <w:pPr>
        <w:numPr>
          <w:ilvl w:val="0"/>
          <w:numId w:val="1"/>
        </w:numPr>
        <w:spacing w:before="100" w:beforeAutospacing="1" w:after="100" w:afterAutospacing="1" w:line="240" w:lineRule="auto"/>
        <w:jc w:val="both"/>
        <w:rPr>
          <w:rFonts w:eastAsia="Times New Roman" w:cs="Arial"/>
          <w:color w:val="212529"/>
          <w:lang w:eastAsia="tr-TR"/>
        </w:rPr>
      </w:pPr>
      <w:r w:rsidRPr="001F121E">
        <w:rPr>
          <w:rFonts w:eastAsia="Times New Roman" w:cs="Arial"/>
          <w:color w:val="212529"/>
          <w:lang w:eastAsia="tr-TR"/>
        </w:rPr>
        <w:t>İyi yönetişim</w:t>
      </w:r>
    </w:p>
    <w:p w:rsidR="001F121E" w:rsidP="001F121E" w:rsidRDefault="001F121E">
      <w:pPr>
        <w:numPr>
          <w:ilvl w:val="0"/>
          <w:numId w:val="1"/>
        </w:numPr>
        <w:spacing w:before="100" w:beforeAutospacing="1" w:after="100" w:afterAutospacing="1" w:line="240" w:lineRule="auto"/>
        <w:jc w:val="both"/>
        <w:rPr>
          <w:rFonts w:eastAsia="Times New Roman" w:cs="Arial"/>
          <w:color w:val="212529"/>
          <w:lang w:eastAsia="tr-TR"/>
        </w:rPr>
      </w:pPr>
      <w:r w:rsidRPr="001F121E">
        <w:rPr>
          <w:rFonts w:eastAsia="Times New Roman" w:cs="Arial"/>
          <w:color w:val="212529"/>
          <w:lang w:eastAsia="tr-TR"/>
        </w:rPr>
        <w:t>İş (ticaret) yapma alanındaki iyileştirmeler</w:t>
      </w:r>
    </w:p>
    <w:p w:rsidRPr="00DC2383" w:rsidR="001F121E" w:rsidP="001F121E" w:rsidRDefault="001F121E">
      <w:pPr>
        <w:spacing w:before="100" w:beforeAutospacing="1" w:after="100" w:afterAutospacing="1" w:line="240" w:lineRule="auto"/>
        <w:ind w:left="720"/>
        <w:jc w:val="both"/>
        <w:rPr>
          <w:rFonts w:eastAsia="Times New Roman" w:cstheme="minorHAnsi"/>
          <w:color w:val="212529"/>
          <w:sz w:val="28"/>
          <w:szCs w:val="28"/>
          <w:lang w:eastAsia="tr-TR"/>
        </w:rPr>
      </w:pPr>
    </w:p>
    <w:p w:rsidRPr="00DC2383" w:rsidR="001F121E" w:rsidP="00302ED9" w:rsidRDefault="001F121E">
      <w:pPr>
        <w:spacing w:after="100" w:afterAutospacing="1" w:line="240" w:lineRule="auto"/>
        <w:jc w:val="both"/>
        <w:rPr>
          <w:rFonts w:eastAsia="Times New Roman" w:cstheme="minorHAnsi"/>
          <w:color w:val="212529"/>
          <w:sz w:val="28"/>
          <w:szCs w:val="28"/>
          <w:lang w:eastAsia="tr-TR"/>
        </w:rPr>
      </w:pPr>
      <w:r w:rsidRPr="00DC2383">
        <w:rPr>
          <w:rFonts w:eastAsia="Times New Roman" w:cstheme="minorHAnsi"/>
          <w:b/>
          <w:bCs/>
          <w:color w:val="212529"/>
          <w:sz w:val="28"/>
          <w:szCs w:val="28"/>
          <w:lang w:eastAsia="tr-TR"/>
        </w:rPr>
        <w:t>NİJERYA’NIN DIŞ TİCARETİ</w:t>
      </w:r>
    </w:p>
    <w:p w:rsidR="001F121E" w:rsidP="001F121E" w:rsidRDefault="001F121E">
      <w:pPr>
        <w:spacing w:after="100" w:afterAutospacing="1" w:line="240" w:lineRule="auto"/>
        <w:jc w:val="both"/>
        <w:rPr>
          <w:rFonts w:eastAsia="Times New Roman" w:cs="Arial"/>
          <w:color w:val="212529"/>
          <w:lang w:eastAsia="tr-TR"/>
        </w:rPr>
      </w:pPr>
      <w:r w:rsidRPr="001F121E">
        <w:rPr>
          <w:rFonts w:ascii="Arial" w:hAnsi="Arial" w:eastAsia="Times New Roman" w:cs="Arial"/>
          <w:color w:val="212529"/>
          <w:sz w:val="24"/>
          <w:szCs w:val="24"/>
          <w:lang w:eastAsia="tr-TR"/>
        </w:rPr>
        <w:br/>
      </w:r>
      <w:r w:rsidRPr="001F121E">
        <w:rPr>
          <w:rFonts w:eastAsia="Times New Roman" w:cs="Arial"/>
          <w:color w:val="212529"/>
          <w:lang w:eastAsia="tr-TR"/>
        </w:rPr>
        <w:t>Nijerya, çoğunlukla dış ticaret fazlası veren bir ülkedir; ancak 2016 yılında 2,3 milyar dolar açık vermiştir. Gerek ihracatı, gerekse ithalatının büyüklüğü itibariyle Afrika kıtasının en önemli birkaç ülkesinden birisidir. Özellikle son 10 yılda ülkenin önemli bir ticaret fazlası verdiği görülmektedir. Bu durum genel olarak petrol ihracatı ve artan petrol fiyatlarıyla ilgilidir. 2012 yılında 143 milyar dolar olan ihracatı, 2017 yılında 41 milyar dolara düşmüş, 2018 yılında ise 53 milyar dolar olarak gerçekleşmiştir. İthalatı ise, 2011 yılında 64 milyar dolarla maksimum düzeye ulaşmış, ancak müteakip yıllarda düşerek 2018 yılında 36 milyar dolar olarak gerçekleşmiştir.</w:t>
      </w:r>
    </w:p>
    <w:p w:rsidRPr="001F121E" w:rsidR="001F121E" w:rsidP="001F121E" w:rsidRDefault="001F121E">
      <w:pPr>
        <w:spacing w:after="100" w:afterAutospacing="1" w:line="240" w:lineRule="auto"/>
        <w:jc w:val="both"/>
        <w:rPr>
          <w:rFonts w:ascii="Arial" w:hAnsi="Arial" w:eastAsia="Times New Roman" w:cs="Arial"/>
          <w:color w:val="212529"/>
          <w:sz w:val="24"/>
          <w:szCs w:val="24"/>
          <w:lang w:eastAsia="tr-TR"/>
        </w:rPr>
      </w:pPr>
      <w:r w:rsidRPr="001F121E">
        <w:rPr>
          <w:rFonts w:ascii="Arial" w:hAnsi="Arial" w:eastAsia="Times New Roman" w:cs="Arial"/>
          <w:color w:val="212529"/>
          <w:sz w:val="24"/>
          <w:szCs w:val="24"/>
          <w:lang w:eastAsia="tr-TR"/>
        </w:rPr>
        <w:t> </w:t>
      </w:r>
      <w:r w:rsidRPr="001F121E">
        <w:rPr>
          <w:rFonts w:ascii="Arial" w:hAnsi="Arial" w:eastAsia="Times New Roman" w:cs="Arial"/>
          <w:color w:val="212529"/>
          <w:sz w:val="24"/>
          <w:szCs w:val="24"/>
          <w:lang w:eastAsia="tr-TR"/>
        </w:rPr>
        <w:br/>
      </w:r>
      <w:r w:rsidRPr="001F121E">
        <w:rPr>
          <w:rFonts w:ascii="Times New Roman" w:hAnsi="Times New Roman" w:eastAsia="Times New Roman" w:cs="Times New Roman"/>
          <w:b/>
          <w:bCs/>
          <w:color w:val="212529"/>
          <w:sz w:val="27"/>
          <w:szCs w:val="27"/>
          <w:lang w:eastAsia="tr-TR"/>
        </w:rPr>
        <w:t>Nijerya’nın Dış Ticareti (Bin ABD Doları)</w:t>
      </w:r>
    </w:p>
    <w:tbl>
      <w:tblPr>
        <w:tblW w:w="0" w:type="auto"/>
        <w:tblInd w:w="733" w:type="dxa"/>
        <w:tblCellMar>
          <w:left w:w="0" w:type="dxa"/>
          <w:right w:w="0" w:type="dxa"/>
        </w:tblCellMar>
        <w:tblLook w:val="04A0" w:firstRow="1" w:lastRow="0" w:firstColumn="1" w:lastColumn="0" w:noHBand="0" w:noVBand="1"/>
      </w:tblPr>
      <w:tblGrid>
        <w:gridCol w:w="1750"/>
        <w:gridCol w:w="1701"/>
        <w:gridCol w:w="1843"/>
        <w:gridCol w:w="1701"/>
        <w:gridCol w:w="1701"/>
      </w:tblGrid>
      <w:tr w:rsidRPr="001F121E" w:rsidR="001F121E" w:rsidTr="001F121E">
        <w:trPr>
          <w:trHeight w:val="540"/>
        </w:trPr>
        <w:tc>
          <w:tcPr>
            <w:tcW w:w="1750" w:type="dxa"/>
            <w:tcBorders>
              <w:top w:val="single" w:color="003366" w:sz="8" w:space="0"/>
              <w:left w:val="single" w:color="003366" w:sz="8" w:space="0"/>
              <w:bottom w:val="single" w:color="FFFFFF" w:sz="18" w:space="0"/>
              <w:right w:val="single" w:color="FFFFFF" w:sz="18" w:space="0"/>
            </w:tcBorders>
            <w:shd w:val="clear" w:color="auto" w:fill="336699"/>
            <w:tcMar>
              <w:top w:w="0" w:type="dxa"/>
              <w:left w:w="108" w:type="dxa"/>
              <w:bottom w:w="0" w:type="dxa"/>
              <w:right w:w="108" w:type="dxa"/>
            </w:tcMar>
            <w:vAlign w:val="center"/>
            <w:hideMark/>
          </w:tcPr>
          <w:p w:rsidRPr="001F121E" w:rsidR="001F121E" w:rsidP="001F121E" w:rsidRDefault="001F121E">
            <w:pPr>
              <w:spacing w:after="0"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FFFFFF"/>
                <w:sz w:val="27"/>
                <w:szCs w:val="27"/>
                <w:lang w:eastAsia="tr-TR"/>
              </w:rPr>
              <w:t>YILLAR</w:t>
            </w:r>
          </w:p>
        </w:tc>
        <w:tc>
          <w:tcPr>
            <w:tcW w:w="1701" w:type="dxa"/>
            <w:tcBorders>
              <w:top w:val="single" w:color="003366" w:sz="8" w:space="0"/>
              <w:left w:val="nil"/>
              <w:bottom w:val="single" w:color="FFFFFF" w:sz="18" w:space="0"/>
              <w:right w:val="single" w:color="FFFFFF" w:sz="18" w:space="0"/>
            </w:tcBorders>
            <w:shd w:val="clear" w:color="auto" w:fill="336699"/>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FFFFFF"/>
                <w:sz w:val="27"/>
                <w:szCs w:val="27"/>
                <w:lang w:eastAsia="tr-TR"/>
              </w:rPr>
              <w:t>İHRACAT</w:t>
            </w:r>
          </w:p>
        </w:tc>
        <w:tc>
          <w:tcPr>
            <w:tcW w:w="1843" w:type="dxa"/>
            <w:tcBorders>
              <w:top w:val="single" w:color="003366" w:sz="8" w:space="0"/>
              <w:left w:val="nil"/>
              <w:bottom w:val="single" w:color="FFFFFF" w:sz="18" w:space="0"/>
              <w:right w:val="single" w:color="FFFFFF" w:sz="18" w:space="0"/>
            </w:tcBorders>
            <w:shd w:val="clear" w:color="auto" w:fill="336699"/>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FFFFFF"/>
                <w:sz w:val="27"/>
                <w:szCs w:val="27"/>
                <w:lang w:eastAsia="tr-TR"/>
              </w:rPr>
              <w:t>İTHALAT</w:t>
            </w:r>
          </w:p>
        </w:tc>
        <w:tc>
          <w:tcPr>
            <w:tcW w:w="1701" w:type="dxa"/>
            <w:tcBorders>
              <w:top w:val="single" w:color="003366" w:sz="8" w:space="0"/>
              <w:left w:val="nil"/>
              <w:bottom w:val="single" w:color="FFFFFF" w:sz="18" w:space="0"/>
              <w:right w:val="single" w:color="FFFFFF" w:sz="18" w:space="0"/>
            </w:tcBorders>
            <w:shd w:val="clear" w:color="auto" w:fill="336699"/>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FFFFFF"/>
                <w:sz w:val="27"/>
                <w:szCs w:val="27"/>
                <w:lang w:eastAsia="tr-TR"/>
              </w:rPr>
              <w:t>HACİM</w:t>
            </w:r>
          </w:p>
        </w:tc>
        <w:tc>
          <w:tcPr>
            <w:tcW w:w="1701" w:type="dxa"/>
            <w:tcBorders>
              <w:top w:val="single" w:color="003366" w:sz="8" w:space="0"/>
              <w:left w:val="nil"/>
              <w:bottom w:val="single" w:color="FFFFFF" w:sz="18" w:space="0"/>
              <w:right w:val="single" w:color="003366" w:sz="8" w:space="0"/>
            </w:tcBorders>
            <w:shd w:val="clear" w:color="auto" w:fill="336699"/>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FFFFFF"/>
                <w:sz w:val="27"/>
                <w:szCs w:val="27"/>
                <w:lang w:eastAsia="tr-TR"/>
              </w:rPr>
              <w:t>DENGE</w:t>
            </w:r>
          </w:p>
        </w:tc>
      </w:tr>
      <w:tr w:rsidRPr="001F121E" w:rsidR="001F121E" w:rsidTr="001F121E">
        <w:trPr>
          <w:trHeight w:val="495"/>
        </w:trPr>
        <w:tc>
          <w:tcPr>
            <w:tcW w:w="1750" w:type="dxa"/>
            <w:tcBorders>
              <w:top w:val="nil"/>
              <w:left w:val="single" w:color="003366" w:sz="8" w:space="0"/>
              <w:bottom w:val="single" w:color="FFFFFF" w:sz="18" w:space="0"/>
              <w:right w:val="single" w:color="FFFFFF" w:sz="18" w:space="0"/>
            </w:tcBorders>
            <w:shd w:val="clear" w:color="auto" w:fill="336699"/>
            <w:tcMar>
              <w:top w:w="0" w:type="dxa"/>
              <w:left w:w="108" w:type="dxa"/>
              <w:bottom w:w="0" w:type="dxa"/>
              <w:right w:w="108" w:type="dxa"/>
            </w:tcMar>
            <w:vAlign w:val="center"/>
            <w:hideMark/>
          </w:tcPr>
          <w:p w:rsidRPr="001F121E" w:rsidR="001F121E" w:rsidP="001F121E" w:rsidRDefault="001F121E">
            <w:pPr>
              <w:spacing w:after="0"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FFFFFF"/>
                <w:sz w:val="27"/>
                <w:szCs w:val="27"/>
                <w:lang w:eastAsia="tr-TR"/>
              </w:rPr>
              <w:t>2015</w:t>
            </w:r>
          </w:p>
        </w:tc>
        <w:tc>
          <w:tcPr>
            <w:tcW w:w="1701"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48.433.351</w:t>
            </w:r>
          </w:p>
        </w:tc>
        <w:tc>
          <w:tcPr>
            <w:tcW w:w="1843"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33.830.879</w:t>
            </w:r>
          </w:p>
        </w:tc>
        <w:tc>
          <w:tcPr>
            <w:tcW w:w="1701"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82.264.230</w:t>
            </w:r>
          </w:p>
        </w:tc>
        <w:tc>
          <w:tcPr>
            <w:tcW w:w="1701" w:type="dxa"/>
            <w:tcBorders>
              <w:top w:val="nil"/>
              <w:left w:val="nil"/>
              <w:bottom w:val="single" w:color="FFFFFF" w:sz="18" w:space="0"/>
              <w:right w:val="single" w:color="003366" w:sz="8" w:space="0"/>
            </w:tcBorders>
            <w:shd w:val="clear" w:color="auto" w:fill="CCCCCC"/>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14.602.472</w:t>
            </w:r>
          </w:p>
        </w:tc>
      </w:tr>
      <w:tr w:rsidRPr="001F121E" w:rsidR="001F121E" w:rsidTr="001F121E">
        <w:trPr>
          <w:trHeight w:val="495"/>
        </w:trPr>
        <w:tc>
          <w:tcPr>
            <w:tcW w:w="1750" w:type="dxa"/>
            <w:tcBorders>
              <w:top w:val="nil"/>
              <w:left w:val="single" w:color="003366" w:sz="8" w:space="0"/>
              <w:bottom w:val="single" w:color="FFFFFF" w:sz="18" w:space="0"/>
              <w:right w:val="single" w:color="FFFFFF" w:sz="18" w:space="0"/>
            </w:tcBorders>
            <w:shd w:val="clear" w:color="auto" w:fill="336699"/>
            <w:tcMar>
              <w:top w:w="0" w:type="dxa"/>
              <w:left w:w="108" w:type="dxa"/>
              <w:bottom w:w="0" w:type="dxa"/>
              <w:right w:w="108" w:type="dxa"/>
            </w:tcMar>
            <w:vAlign w:val="center"/>
            <w:hideMark/>
          </w:tcPr>
          <w:p w:rsidRPr="001F121E" w:rsidR="001F121E" w:rsidP="001F121E" w:rsidRDefault="001F121E">
            <w:pPr>
              <w:spacing w:after="0"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FFFFFF"/>
                <w:sz w:val="27"/>
                <w:szCs w:val="27"/>
                <w:lang w:eastAsia="tr-TR"/>
              </w:rPr>
              <w:t>2016</w:t>
            </w:r>
          </w:p>
        </w:tc>
        <w:tc>
          <w:tcPr>
            <w:tcW w:w="1701"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32.883.045</w:t>
            </w:r>
          </w:p>
        </w:tc>
        <w:tc>
          <w:tcPr>
            <w:tcW w:w="1843"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35.194.301</w:t>
            </w:r>
          </w:p>
        </w:tc>
        <w:tc>
          <w:tcPr>
            <w:tcW w:w="1701" w:type="dxa"/>
            <w:tcBorders>
              <w:top w:val="nil"/>
              <w:left w:val="nil"/>
              <w:bottom w:val="single" w:color="FFFFFF" w:sz="18" w:space="0"/>
              <w:right w:val="single" w:color="FFFFFF" w:sz="18" w:space="0"/>
            </w:tcBorders>
            <w:shd w:val="clear" w:color="auto" w:fill="F2F2F2"/>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68.077.346</w:t>
            </w:r>
          </w:p>
        </w:tc>
        <w:tc>
          <w:tcPr>
            <w:tcW w:w="1701" w:type="dxa"/>
            <w:tcBorders>
              <w:top w:val="nil"/>
              <w:left w:val="nil"/>
              <w:bottom w:val="single" w:color="FFFFFF" w:sz="18" w:space="0"/>
              <w:right w:val="single" w:color="003366" w:sz="8" w:space="0"/>
            </w:tcBorders>
            <w:shd w:val="clear" w:color="auto" w:fill="F2F2F2"/>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-2.311.256</w:t>
            </w:r>
          </w:p>
        </w:tc>
      </w:tr>
      <w:tr w:rsidRPr="001F121E" w:rsidR="001F121E" w:rsidTr="001F121E">
        <w:trPr>
          <w:trHeight w:val="495"/>
        </w:trPr>
        <w:tc>
          <w:tcPr>
            <w:tcW w:w="1750" w:type="dxa"/>
            <w:tcBorders>
              <w:top w:val="nil"/>
              <w:left w:val="single" w:color="003366" w:sz="8" w:space="0"/>
              <w:bottom w:val="single" w:color="FFFFFF" w:sz="18" w:space="0"/>
              <w:right w:val="single" w:color="FFFFFF" w:sz="18" w:space="0"/>
            </w:tcBorders>
            <w:shd w:val="clear" w:color="auto" w:fill="336699"/>
            <w:tcMar>
              <w:top w:w="0" w:type="dxa"/>
              <w:left w:w="108" w:type="dxa"/>
              <w:bottom w:w="0" w:type="dxa"/>
              <w:right w:w="108" w:type="dxa"/>
            </w:tcMar>
            <w:vAlign w:val="center"/>
            <w:hideMark/>
          </w:tcPr>
          <w:p w:rsidRPr="001F121E" w:rsidR="001F121E" w:rsidP="001F121E" w:rsidRDefault="001F121E">
            <w:pPr>
              <w:spacing w:after="0"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FFFFFF"/>
                <w:sz w:val="27"/>
                <w:szCs w:val="27"/>
                <w:lang w:eastAsia="tr-TR"/>
              </w:rPr>
              <w:t>2017</w:t>
            </w:r>
          </w:p>
        </w:tc>
        <w:tc>
          <w:tcPr>
            <w:tcW w:w="1701"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40.721.848</w:t>
            </w:r>
          </w:p>
        </w:tc>
        <w:tc>
          <w:tcPr>
            <w:tcW w:w="1843"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28.915.247</w:t>
            </w:r>
          </w:p>
        </w:tc>
        <w:tc>
          <w:tcPr>
            <w:tcW w:w="1701" w:type="dxa"/>
            <w:tcBorders>
              <w:top w:val="nil"/>
              <w:left w:val="nil"/>
              <w:bottom w:val="single" w:color="FFFFFF" w:sz="18" w:space="0"/>
              <w:right w:val="single" w:color="FFFFFF" w:sz="18" w:space="0"/>
            </w:tcBorders>
            <w:shd w:val="clear" w:color="auto" w:fill="CCCCCC"/>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69.637.095</w:t>
            </w:r>
          </w:p>
        </w:tc>
        <w:tc>
          <w:tcPr>
            <w:tcW w:w="1701" w:type="dxa"/>
            <w:tcBorders>
              <w:top w:val="nil"/>
              <w:left w:val="nil"/>
              <w:bottom w:val="single" w:color="FFFFFF" w:sz="18" w:space="0"/>
              <w:right w:val="single" w:color="003366" w:sz="8" w:space="0"/>
            </w:tcBorders>
            <w:shd w:val="clear" w:color="auto" w:fill="CCCCCC"/>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11.806.601</w:t>
            </w:r>
          </w:p>
        </w:tc>
      </w:tr>
      <w:tr w:rsidRPr="001F121E" w:rsidR="001F121E" w:rsidTr="001F121E">
        <w:trPr>
          <w:trHeight w:val="495"/>
        </w:trPr>
        <w:tc>
          <w:tcPr>
            <w:tcW w:w="1750" w:type="dxa"/>
            <w:tcBorders>
              <w:top w:val="nil"/>
              <w:left w:val="single" w:color="003366" w:sz="8" w:space="0"/>
              <w:bottom w:val="single" w:color="003366" w:sz="8" w:space="0"/>
              <w:right w:val="single" w:color="FFFFFF" w:sz="18" w:space="0"/>
            </w:tcBorders>
            <w:shd w:val="clear" w:color="auto" w:fill="336699"/>
            <w:tcMar>
              <w:top w:w="0" w:type="dxa"/>
              <w:left w:w="108" w:type="dxa"/>
              <w:bottom w:w="0" w:type="dxa"/>
              <w:right w:w="108" w:type="dxa"/>
            </w:tcMar>
            <w:vAlign w:val="center"/>
            <w:hideMark/>
          </w:tcPr>
          <w:p w:rsidRPr="001F121E" w:rsidR="001F121E" w:rsidP="001F121E" w:rsidRDefault="001F121E">
            <w:pPr>
              <w:spacing w:after="0"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FFFFFF"/>
                <w:sz w:val="27"/>
                <w:szCs w:val="27"/>
                <w:lang w:eastAsia="tr-TR"/>
              </w:rPr>
              <w:t>2018</w:t>
            </w:r>
          </w:p>
        </w:tc>
        <w:tc>
          <w:tcPr>
            <w:tcW w:w="1701" w:type="dxa"/>
            <w:tcBorders>
              <w:top w:val="nil"/>
              <w:left w:val="nil"/>
              <w:bottom w:val="single" w:color="003366" w:sz="8" w:space="0"/>
              <w:right w:val="single" w:color="FFFFFF" w:sz="18" w:space="0"/>
            </w:tcBorders>
            <w:shd w:val="clear" w:color="auto" w:fill="F2F2F2"/>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52.913.529</w:t>
            </w:r>
          </w:p>
        </w:tc>
        <w:tc>
          <w:tcPr>
            <w:tcW w:w="1843" w:type="dxa"/>
            <w:tcBorders>
              <w:top w:val="nil"/>
              <w:left w:val="nil"/>
              <w:bottom w:val="single" w:color="003366" w:sz="8" w:space="0"/>
              <w:right w:val="single" w:color="FFFFFF" w:sz="18" w:space="0"/>
            </w:tcBorders>
            <w:shd w:val="clear" w:color="auto" w:fill="F2F2F2"/>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36.460.226</w:t>
            </w:r>
          </w:p>
        </w:tc>
        <w:tc>
          <w:tcPr>
            <w:tcW w:w="1701" w:type="dxa"/>
            <w:tcBorders>
              <w:top w:val="nil"/>
              <w:left w:val="nil"/>
              <w:bottom w:val="single" w:color="003366" w:sz="8" w:space="0"/>
              <w:right w:val="single" w:color="FFFFFF" w:sz="18" w:space="0"/>
            </w:tcBorders>
            <w:shd w:val="clear" w:color="auto" w:fill="F2F2F2"/>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89.373.755</w:t>
            </w:r>
          </w:p>
        </w:tc>
        <w:tc>
          <w:tcPr>
            <w:tcW w:w="1701" w:type="dxa"/>
            <w:tcBorders>
              <w:top w:val="nil"/>
              <w:left w:val="nil"/>
              <w:bottom w:val="single" w:color="003366" w:sz="8" w:space="0"/>
              <w:right w:val="single" w:color="003366" w:sz="8" w:space="0"/>
            </w:tcBorders>
            <w:shd w:val="clear" w:color="auto" w:fill="F2F2F2"/>
            <w:tcMar>
              <w:top w:w="0" w:type="dxa"/>
              <w:left w:w="108" w:type="dxa"/>
              <w:bottom w:w="0" w:type="dxa"/>
              <w:right w:w="108" w:type="dxa"/>
            </w:tcMar>
            <w:vAlign w:val="center"/>
            <w:hideMark/>
          </w:tcPr>
          <w:p w:rsidRPr="001F121E" w:rsidR="001F121E" w:rsidP="001F121E" w:rsidRDefault="001F121E">
            <w:pPr>
              <w:spacing w:after="0"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16.453.303</w:t>
            </w:r>
          </w:p>
        </w:tc>
      </w:tr>
    </w:tbl>
    <w:p w:rsidR="00302ED9" w:rsidP="001F121E" w:rsidRDefault="001F121E">
      <w:pPr>
        <w:pStyle w:val="ListeParagraf"/>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0"/>
          <w:szCs w:val="20"/>
          <w:lang w:eastAsia="tr-TR"/>
        </w:rPr>
        <w:t>Kaynak: Trademap</w:t>
      </w:r>
    </w:p>
    <w:p w:rsidR="00302ED9" w:rsidP="001F121E" w:rsidRDefault="00302ED9">
      <w:pPr>
        <w:pStyle w:val="ListeParagraf"/>
        <w:rPr>
          <w:rFonts w:ascii="Arial" w:hAnsi="Arial" w:eastAsia="Times New Roman" w:cs="Arial"/>
          <w:color w:val="212529"/>
          <w:sz w:val="24"/>
          <w:szCs w:val="24"/>
          <w:lang w:eastAsia="tr-TR"/>
        </w:rPr>
      </w:pPr>
    </w:p>
    <w:p w:rsidRPr="00302ED9" w:rsidR="001F121E" w:rsidP="001F121E" w:rsidRDefault="001F121E">
      <w:pPr>
        <w:pStyle w:val="ListeParagraf"/>
        <w:rPr>
          <w:rFonts w:eastAsia="Times New Roman" w:cs="Arial"/>
          <w:color w:val="212529"/>
          <w:lang w:eastAsia="tr-TR"/>
        </w:rPr>
      </w:pPr>
      <w:r w:rsidRPr="00302ED9">
        <w:rPr>
          <w:rFonts w:eastAsia="Times New Roman" w:cs="Arial"/>
          <w:color w:val="212529"/>
          <w:lang w:eastAsia="tr-TR"/>
        </w:rPr>
        <w:t>Uluslararası Ticaret Merkezinin verilerine göre Nijerya’da yıllar itibariyle değişmekle beraber ihracatın %94’ünü petrol ve doğal gaz ihracatı oluşturmaktadır. Hidrokarbon dışında en önemli ihraç kalemleri kakao; yağlı tohumlar ve meyvelerdir. Hükümet her ne kadar ihraç kalemlerini çeşitlendirmeyi amaçlamakta ise de bu konuda pek başarılı olamamıştır.</w:t>
      </w:r>
    </w:p>
    <w:tbl>
      <w:tblPr>
        <w:tblpPr w:leftFromText="141" w:rightFromText="141" w:vertAnchor="text" w:horzAnchor="margin" w:tblpY="387"/>
        <w:tblW w:w="5000" w:type="pct"/>
        <w:tblCellMar>
          <w:left w:w="0" w:type="dxa"/>
          <w:right w:w="0" w:type="dxa"/>
        </w:tblCellMar>
        <w:tblLook w:val="04A0" w:firstRow="1" w:lastRow="0" w:firstColumn="1" w:lastColumn="0" w:noHBand="0" w:noVBand="1"/>
      </w:tblPr>
      <w:tblGrid>
        <w:gridCol w:w="992"/>
        <w:gridCol w:w="4361"/>
        <w:gridCol w:w="1276"/>
        <w:gridCol w:w="1559"/>
        <w:gridCol w:w="1432"/>
      </w:tblGrid>
      <w:tr w:rsidRPr="001F121E" w:rsidR="001F121E" w:rsidTr="001F121E">
        <w:tc>
          <w:tcPr>
            <w:tcW w:w="0" w:type="auto"/>
            <w:tcBorders>
              <w:top w:val="single" w:color="BFBFBF" w:sz="8" w:space="0"/>
              <w:left w:val="single" w:color="BFBFBF" w:sz="8" w:space="0"/>
              <w:bottom w:val="single" w:color="BFBFBF" w:sz="8" w:space="0"/>
              <w:right w:val="single" w:color="BFBFBF" w:sz="8" w:space="0"/>
            </w:tcBorders>
            <w:shd w:val="clear" w:color="auto" w:fill="auto"/>
            <w:tcMar>
              <w:top w:w="0" w:type="dxa"/>
              <w:left w:w="108" w:type="dxa"/>
              <w:bottom w:w="0" w:type="dxa"/>
              <w:right w:w="108" w:type="dxa"/>
            </w:tcMa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Arial"/>
                <w:color w:val="212529"/>
                <w:shd w:val="clear" w:color="auto" w:fill="FFFFFF"/>
                <w:lang w:eastAsia="tr-TR"/>
              </w:rPr>
              <w:lastRenderedPageBreak/>
              <w:t> </w:t>
            </w:r>
            <w:r w:rsidRPr="001F121E">
              <w:rPr>
                <w:rFonts w:eastAsia="Times New Roman" w:cs="Times New Roman"/>
                <w:b/>
                <w:bCs/>
                <w:color w:val="212529"/>
                <w:lang w:eastAsia="tr-TR"/>
              </w:rPr>
              <w:t>GTİP</w:t>
            </w:r>
          </w:p>
        </w:tc>
        <w:tc>
          <w:tcPr>
            <w:tcW w:w="4361" w:type="dxa"/>
            <w:tcBorders>
              <w:top w:val="single" w:color="BFBFBF" w:sz="8" w:space="0"/>
              <w:left w:val="nil"/>
              <w:bottom w:val="single" w:color="BFBFBF" w:sz="8" w:space="0"/>
              <w:right w:val="single" w:color="BFBFBF" w:sz="8" w:space="0"/>
            </w:tcBorders>
            <w:shd w:val="clear" w:color="auto" w:fill="auto"/>
            <w:tcMar>
              <w:top w:w="0" w:type="dxa"/>
              <w:left w:w="108" w:type="dxa"/>
              <w:bottom w:w="0" w:type="dxa"/>
              <w:right w:w="108" w:type="dxa"/>
            </w:tcMar>
            <w:hideMark/>
          </w:tcPr>
          <w:p w:rsidRPr="001F121E" w:rsidR="001F121E" w:rsidP="001F121E" w:rsidRDefault="001F121E">
            <w:pPr>
              <w:spacing w:after="0" w:line="240" w:lineRule="auto"/>
              <w:jc w:val="both"/>
              <w:rPr>
                <w:rFonts w:eastAsia="Times New Roman" w:cs="Arial"/>
                <w:color w:val="212529"/>
                <w:lang w:eastAsia="tr-TR"/>
              </w:rPr>
            </w:pPr>
            <w:r>
              <w:rPr>
                <w:rFonts w:eastAsia="Times New Roman" w:cs="Times New Roman"/>
                <w:b/>
                <w:bCs/>
                <w:color w:val="212529"/>
                <w:lang w:eastAsia="tr-TR"/>
              </w:rPr>
              <w:t>Ürünler (ilk 1</w:t>
            </w:r>
            <w:r w:rsidRPr="001F121E">
              <w:rPr>
                <w:rFonts w:eastAsia="Times New Roman" w:cs="Times New Roman"/>
                <w:b/>
                <w:bCs/>
                <w:color w:val="212529"/>
                <w:lang w:eastAsia="tr-TR"/>
              </w:rPr>
              <w:t>0)</w:t>
            </w:r>
          </w:p>
        </w:tc>
        <w:tc>
          <w:tcPr>
            <w:tcW w:w="1276" w:type="dxa"/>
            <w:tcBorders>
              <w:top w:val="single" w:color="BFBFBF" w:sz="8" w:space="0"/>
              <w:left w:val="nil"/>
              <w:bottom w:val="single" w:color="BFBFBF" w:sz="8" w:space="0"/>
              <w:right w:val="single" w:color="BFBFBF" w:sz="8" w:space="0"/>
            </w:tcBorders>
            <w:shd w:val="clear" w:color="auto" w:fill="auto"/>
            <w:tcMar>
              <w:top w:w="0" w:type="dxa"/>
              <w:left w:w="108" w:type="dxa"/>
              <w:bottom w:w="0" w:type="dxa"/>
              <w:right w:w="108" w:type="dxa"/>
            </w:tcMa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b/>
                <w:bCs/>
                <w:color w:val="212529"/>
                <w:lang w:eastAsia="tr-TR"/>
              </w:rPr>
              <w:t>2016</w:t>
            </w:r>
          </w:p>
        </w:tc>
        <w:tc>
          <w:tcPr>
            <w:tcW w:w="1559" w:type="dxa"/>
            <w:tcBorders>
              <w:top w:val="single" w:color="BFBFBF" w:sz="8" w:space="0"/>
              <w:left w:val="nil"/>
              <w:bottom w:val="single" w:color="BFBFBF" w:sz="8" w:space="0"/>
              <w:right w:val="single" w:color="BFBFBF" w:sz="8" w:space="0"/>
            </w:tcBorders>
            <w:shd w:val="clear" w:color="auto" w:fill="auto"/>
            <w:tcMar>
              <w:top w:w="0" w:type="dxa"/>
              <w:left w:w="108" w:type="dxa"/>
              <w:bottom w:w="0" w:type="dxa"/>
              <w:right w:w="108" w:type="dxa"/>
            </w:tcMa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b/>
                <w:bCs/>
                <w:color w:val="212529"/>
                <w:lang w:eastAsia="tr-TR"/>
              </w:rPr>
              <w:t>2017</w:t>
            </w:r>
          </w:p>
        </w:tc>
        <w:tc>
          <w:tcPr>
            <w:tcW w:w="1432" w:type="dxa"/>
            <w:tcBorders>
              <w:top w:val="single" w:color="BFBFBF" w:sz="8" w:space="0"/>
              <w:left w:val="nil"/>
              <w:bottom w:val="single" w:color="BFBFBF" w:sz="8" w:space="0"/>
              <w:right w:val="single" w:color="BFBFBF" w:sz="8" w:space="0"/>
            </w:tcBorders>
            <w:shd w:val="clear" w:color="auto" w:fill="auto"/>
            <w:tcMar>
              <w:top w:w="0" w:type="dxa"/>
              <w:left w:w="108" w:type="dxa"/>
              <w:bottom w:w="0" w:type="dxa"/>
              <w:right w:w="108" w:type="dxa"/>
            </w:tcMa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b/>
                <w:bCs/>
                <w:color w:val="212529"/>
                <w:lang w:eastAsia="tr-TR"/>
              </w:rPr>
              <w:t>2018</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2709</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Ham petrol (petrol yağları ve bitümenli minerallerden elde edilen yağlar)</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26.917.915</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32.965.022</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43.559.567</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2711</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Petrol gazları ve diğer gazlı hidrokarbonlar</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4.585.981</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5.687.172</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5.893.135</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8904</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Römorkörler ve itici gemiler</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0</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0</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1.017.756</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1801</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Kakao dane ve kırıkları (ham/kavrulmuş, bütün/kırık)</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238.277</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178.740</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256.066</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1207</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Diğer yağlı tohumlar ve meyveler</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107.426</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124.682</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247.662</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8908</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Sökülecek gemiler, suda yüzen sökülecek diğer araçlar</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0</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133.816</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219.882</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0801</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Hindistan cevizi, brezilya ve kaju cevizi (taze/kurutulmuş)</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32.460</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76.108</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186.290</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3102</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Azotlu mineral veya kimyasal gübreler</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59.601</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149.824</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169.197</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2710</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Petrol yağları ve bitümenli minerallerden elde edilen yağlar</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33.586</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166.959</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156.604</w:t>
            </w:r>
          </w:p>
        </w:tc>
      </w:tr>
      <w:tr w:rsidRPr="001F121E" w:rsidR="001F121E" w:rsidTr="001F121E">
        <w:tc>
          <w:tcPr>
            <w:tcW w:w="992" w:type="dxa"/>
            <w:tcBorders>
              <w:top w:val="nil"/>
              <w:left w:val="single" w:color="BFBFBF" w:sz="8" w:space="0"/>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2716</w:t>
            </w:r>
          </w:p>
        </w:tc>
        <w:tc>
          <w:tcPr>
            <w:tcW w:w="4361"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bottom"/>
            <w:hideMark/>
          </w:tcPr>
          <w:p w:rsidRPr="001F121E" w:rsidR="001F121E" w:rsidP="001F121E"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Elektrik enerjisi</w:t>
            </w:r>
          </w:p>
        </w:tc>
        <w:tc>
          <w:tcPr>
            <w:tcW w:w="1276"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114.435</w:t>
            </w:r>
          </w:p>
        </w:tc>
        <w:tc>
          <w:tcPr>
            <w:tcW w:w="1559"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103.505</w:t>
            </w:r>
          </w:p>
        </w:tc>
        <w:tc>
          <w:tcPr>
            <w:tcW w:w="1432" w:type="dxa"/>
            <w:tcBorders>
              <w:top w:val="nil"/>
              <w:left w:val="nil"/>
              <w:bottom w:val="single" w:color="BFBFBF" w:sz="8" w:space="0"/>
              <w:right w:val="single" w:color="BFBFBF" w:sz="8" w:space="0"/>
            </w:tcBorders>
            <w:shd w:val="clear" w:color="auto" w:fill="auto"/>
            <w:tcMar>
              <w:top w:w="0" w:type="dxa"/>
              <w:left w:w="108" w:type="dxa"/>
              <w:bottom w:w="0" w:type="dxa"/>
              <w:right w:w="108" w:type="dxa"/>
            </w:tcMar>
            <w:vAlign w:val="center"/>
            <w:hideMark/>
          </w:tcPr>
          <w:p w:rsidRPr="001F121E" w:rsidR="001F121E" w:rsidP="001F121E"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111.991</w:t>
            </w:r>
          </w:p>
        </w:tc>
      </w:tr>
    </w:tbl>
    <w:p w:rsidR="001F121E" w:rsidP="001F121E" w:rsidRDefault="001F121E">
      <w:pPr>
        <w:pStyle w:val="ListeParagraf"/>
        <w:rPr>
          <w:rFonts w:ascii="Arial" w:hAnsi="Arial" w:cs="Arial"/>
          <w:color w:val="212529"/>
          <w:shd w:val="clear" w:color="auto" w:fill="FFFFFF"/>
        </w:rPr>
      </w:pPr>
      <w:r>
        <w:rPr>
          <w:rStyle w:val="Gl"/>
          <w:color w:val="212529"/>
          <w:sz w:val="27"/>
          <w:szCs w:val="27"/>
        </w:rPr>
        <w:t>Nijerya’nın İhraç Ettiği Ürünler (Bin ABD Doları)</w:t>
      </w:r>
      <w:r>
        <w:rPr>
          <w:rFonts w:ascii="Arial" w:hAnsi="Arial" w:cs="Arial"/>
          <w:color w:val="212529"/>
          <w:shd w:val="clear" w:color="auto" w:fill="FFFFFF"/>
        </w:rPr>
        <w:t> </w:t>
      </w:r>
    </w:p>
    <w:p w:rsidRPr="001F121E" w:rsidR="00302ED9" w:rsidP="001F121E" w:rsidRDefault="00302ED9">
      <w:pPr>
        <w:pStyle w:val="ListeParagraf"/>
      </w:pPr>
    </w:p>
    <w:p w:rsidRPr="001F121E" w:rsidR="001F121E" w:rsidP="001F121E" w:rsidRDefault="001F121E">
      <w:pPr>
        <w:spacing w:after="0" w:line="240" w:lineRule="auto"/>
        <w:rPr>
          <w:rFonts w:ascii="Times New Roman" w:hAnsi="Times New Roman" w:eastAsia="Times New Roman" w:cs="Times New Roman"/>
          <w:sz w:val="24"/>
          <w:szCs w:val="24"/>
          <w:lang w:eastAsia="tr-TR"/>
        </w:rPr>
      </w:pPr>
      <w:r w:rsidRPr="001F121E">
        <w:rPr>
          <w:rFonts w:ascii="Times New Roman" w:hAnsi="Times New Roman" w:eastAsia="Times New Roman" w:cs="Times New Roman"/>
          <w:b/>
          <w:bCs/>
          <w:color w:val="212529"/>
          <w:sz w:val="27"/>
          <w:szCs w:val="27"/>
          <w:lang w:eastAsia="tr-TR"/>
        </w:rPr>
        <w:t>Nijerya’nın Ülkeler İtibariyle İhracatı (Bin ABD Doları)</w:t>
      </w:r>
      <w:r w:rsidRPr="001F121E">
        <w:rPr>
          <w:rFonts w:ascii="Arial" w:hAnsi="Arial" w:eastAsia="Times New Roman" w:cs="Arial"/>
          <w:color w:val="212529"/>
          <w:sz w:val="24"/>
          <w:szCs w:val="24"/>
          <w:shd w:val="clear" w:color="auto" w:fill="FFFFFF"/>
          <w:lang w:eastAsia="tr-TR"/>
        </w:rPr>
        <w:t> </w:t>
      </w:r>
      <w:r w:rsidRPr="001F121E">
        <w:rPr>
          <w:rFonts w:ascii="Arial" w:hAnsi="Arial" w:eastAsia="Times New Roman" w:cs="Arial"/>
          <w:color w:val="212529"/>
          <w:sz w:val="24"/>
          <w:szCs w:val="24"/>
          <w:lang w:eastAsia="tr-TR"/>
        </w:rPr>
        <w:br/>
      </w:r>
      <w:r w:rsidRPr="001F121E">
        <w:rPr>
          <w:rFonts w:ascii="Arial" w:hAnsi="Arial" w:eastAsia="Times New Roman" w:cs="Arial"/>
          <w:color w:val="212529"/>
          <w:sz w:val="24"/>
          <w:szCs w:val="24"/>
          <w:shd w:val="clear" w:color="auto" w:fill="FFFFFF"/>
          <w:lang w:eastAsia="tr-TR"/>
        </w:rPr>
        <w:t> </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10"/>
        <w:gridCol w:w="2430"/>
        <w:gridCol w:w="1431"/>
        <w:gridCol w:w="1431"/>
        <w:gridCol w:w="1431"/>
      </w:tblGrid>
      <w:tr w:rsidRPr="001F121E" w:rsidR="001F121E" w:rsidTr="001F121E">
        <w:trPr>
          <w:trHeight w:val="435"/>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Sıra</w:t>
            </w:r>
          </w:p>
        </w:tc>
        <w:tc>
          <w:tcPr>
            <w:tcW w:w="243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Ülkeler</w:t>
            </w:r>
          </w:p>
        </w:tc>
        <w:tc>
          <w:tcPr>
            <w:tcW w:w="1431"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2016</w:t>
            </w:r>
          </w:p>
        </w:tc>
        <w:tc>
          <w:tcPr>
            <w:tcW w:w="1431"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2017</w:t>
            </w:r>
          </w:p>
        </w:tc>
        <w:tc>
          <w:tcPr>
            <w:tcW w:w="1431"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000000"/>
                <w:sz w:val="27"/>
                <w:szCs w:val="27"/>
                <w:lang w:eastAsia="tr-TR"/>
              </w:rPr>
              <w:t>2018</w:t>
            </w:r>
          </w:p>
        </w:tc>
      </w:tr>
      <w:tr w:rsidRPr="001F121E" w:rsidR="001F121E" w:rsidTr="001F121E">
        <w:trPr>
          <w:trHeight w:val="435"/>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Arial" w:hAnsi="Arial" w:eastAsia="Times New Roman" w:cs="Arial"/>
                <w:color w:val="212529"/>
                <w:sz w:val="24"/>
                <w:szCs w:val="24"/>
                <w:lang w:eastAsia="tr-TR"/>
              </w:rPr>
              <w:t> </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212529"/>
                <w:sz w:val="27"/>
                <w:szCs w:val="27"/>
                <w:lang w:eastAsia="tr-TR"/>
              </w:rPr>
              <w:t>Genel Toplam</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212529"/>
                <w:sz w:val="27"/>
                <w:szCs w:val="27"/>
                <w:lang w:eastAsia="tr-TR"/>
              </w:rPr>
              <w:t>32.883.045</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212529"/>
                <w:sz w:val="27"/>
                <w:szCs w:val="27"/>
                <w:lang w:eastAsia="tr-TR"/>
              </w:rPr>
              <w:t>40.721.848</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b/>
                <w:bCs/>
                <w:color w:val="212529"/>
                <w:sz w:val="27"/>
                <w:szCs w:val="27"/>
                <w:lang w:eastAsia="tr-TR"/>
              </w:rPr>
              <w:t>52.913.529</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Hindistan</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5.966.071</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7.299.863</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8.400.689</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2</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Hollanda</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2.463.855</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3.428.078</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5.688.196</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İspanya</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3.078.450</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4.077.222</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5.356.860</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4</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Fransa</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2.034.255</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3.127.220</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4.190.752</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5</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Güney Afrika Cum.</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1.800.925</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1.833.918</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3.375.663</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6</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ABD</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4.005.271</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5.177.276</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3.218.998</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7</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Endonezya</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1.237.097</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1.340.865</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2.211.582</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8</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İsveç</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590.458</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860.481</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2.015.354</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9</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Birleşik Krallık</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1.180.372</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1.074.837</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1.928.675</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10</w:t>
            </w:r>
          </w:p>
        </w:tc>
        <w:tc>
          <w:tcPr>
            <w:tcW w:w="2430"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Brezilya</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877.370</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565.204</w:t>
            </w:r>
          </w:p>
        </w:tc>
        <w:tc>
          <w:tcPr>
            <w:tcW w:w="1431" w:type="dxa"/>
            <w:shd w:val="clear" w:color="auto" w:fill="auto"/>
            <w:noWrap/>
            <w:tcMar>
              <w:top w:w="0" w:type="dxa"/>
              <w:left w:w="108" w:type="dxa"/>
              <w:bottom w:w="0" w:type="dxa"/>
              <w:right w:w="108" w:type="dxa"/>
            </w:tcMar>
            <w:vAlign w:val="cente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1.709.019</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w:t>
            </w:r>
          </w:p>
        </w:tc>
        <w:tc>
          <w:tcPr>
            <w:tcW w:w="243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w:t>
            </w:r>
          </w:p>
        </w:tc>
        <w:tc>
          <w:tcPr>
            <w:tcW w:w="1431"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w:t>
            </w:r>
          </w:p>
        </w:tc>
        <w:tc>
          <w:tcPr>
            <w:tcW w:w="1431"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w:t>
            </w:r>
          </w:p>
        </w:tc>
        <w:tc>
          <w:tcPr>
            <w:tcW w:w="1431"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w:t>
            </w:r>
          </w:p>
        </w:tc>
      </w:tr>
      <w:tr w:rsidRPr="001F121E" w:rsidR="001F121E" w:rsidTr="001F121E">
        <w:trPr>
          <w:trHeight w:val="300"/>
        </w:trPr>
        <w:tc>
          <w:tcPr>
            <w:tcW w:w="81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21</w:t>
            </w:r>
          </w:p>
        </w:tc>
        <w:tc>
          <w:tcPr>
            <w:tcW w:w="2430"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both"/>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Türkiye</w:t>
            </w:r>
          </w:p>
        </w:tc>
        <w:tc>
          <w:tcPr>
            <w:tcW w:w="1431"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214.823</w:t>
            </w:r>
          </w:p>
        </w:tc>
        <w:tc>
          <w:tcPr>
            <w:tcW w:w="1431"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416.769</w:t>
            </w:r>
          </w:p>
        </w:tc>
        <w:tc>
          <w:tcPr>
            <w:tcW w:w="1431" w:type="dxa"/>
            <w:shd w:val="clear" w:color="auto" w:fill="auto"/>
            <w:noWrap/>
            <w:tcMar>
              <w:top w:w="0" w:type="dxa"/>
              <w:left w:w="108" w:type="dxa"/>
              <w:bottom w:w="0" w:type="dxa"/>
              <w:right w:w="108" w:type="dxa"/>
            </w:tcMar>
            <w:hideMark/>
          </w:tcPr>
          <w:p w:rsidRPr="001F121E" w:rsidR="001F121E" w:rsidP="001F121E" w:rsidRDefault="001F121E">
            <w:pPr>
              <w:spacing w:before="100" w:beforeAutospacing="1" w:after="100" w:afterAutospacing="1" w:line="240" w:lineRule="auto"/>
              <w:jc w:val="right"/>
              <w:rPr>
                <w:rFonts w:ascii="Arial" w:hAnsi="Arial" w:eastAsia="Times New Roman" w:cs="Arial"/>
                <w:color w:val="212529"/>
                <w:sz w:val="24"/>
                <w:szCs w:val="24"/>
                <w:lang w:eastAsia="tr-TR"/>
              </w:rPr>
            </w:pPr>
            <w:r w:rsidRPr="001F121E">
              <w:rPr>
                <w:rFonts w:ascii="Times New Roman" w:hAnsi="Times New Roman" w:eastAsia="Times New Roman" w:cs="Times New Roman"/>
                <w:color w:val="212529"/>
                <w:sz w:val="27"/>
                <w:szCs w:val="27"/>
                <w:lang w:eastAsia="tr-TR"/>
              </w:rPr>
              <w:t>479.625</w:t>
            </w:r>
          </w:p>
        </w:tc>
      </w:tr>
    </w:tbl>
    <w:p w:rsidR="001F121E" w:rsidP="001F121E" w:rsidRDefault="001F121E"/>
    <w:p w:rsidR="001F121E" w:rsidP="001F121E" w:rsidRDefault="001F121E">
      <w:pPr>
        <w:rPr>
          <w:color w:val="212529"/>
        </w:rPr>
      </w:pPr>
      <w:r>
        <w:rPr>
          <w:rFonts w:ascii="Arial" w:hAnsi="Arial" w:cs="Arial"/>
          <w:color w:val="212529"/>
          <w:shd w:val="clear" w:color="auto" w:fill="FFFFFF"/>
        </w:rPr>
        <w:t> </w:t>
      </w:r>
      <w:r w:rsidRPr="001F121E">
        <w:rPr>
          <w:color w:val="212529"/>
        </w:rPr>
        <w:t>Nijerya’nın ihracattaki en önemli pazarları Hindistan, Hollanda, İspanya, Fransa ve Güney Afrika Cum.’dir. Ülkemiz ise Nijerya’nın ihracatında 21. sırada yer almaktadır.</w:t>
      </w:r>
    </w:p>
    <w:p w:rsidR="00302ED9" w:rsidP="001F121E" w:rsidRDefault="00302ED9">
      <w:pPr>
        <w:rPr>
          <w:color w:val="212529"/>
        </w:rPr>
      </w:pPr>
    </w:p>
    <w:p w:rsidRPr="001F121E" w:rsidR="001F121E" w:rsidP="001F121E" w:rsidRDefault="001F121E">
      <w:pPr>
        <w:spacing w:after="0" w:line="240" w:lineRule="auto"/>
        <w:rPr>
          <w:rFonts w:ascii="Times New Roman" w:hAnsi="Times New Roman" w:eastAsia="Times New Roman" w:cs="Times New Roman"/>
          <w:sz w:val="24"/>
          <w:szCs w:val="24"/>
          <w:lang w:eastAsia="tr-TR"/>
        </w:rPr>
      </w:pPr>
      <w:r w:rsidRPr="001F121E">
        <w:rPr>
          <w:rFonts w:ascii="Times New Roman" w:hAnsi="Times New Roman" w:eastAsia="Times New Roman" w:cs="Times New Roman"/>
          <w:b/>
          <w:bCs/>
          <w:color w:val="212529"/>
          <w:sz w:val="27"/>
          <w:szCs w:val="27"/>
          <w:lang w:eastAsia="tr-TR"/>
        </w:rPr>
        <w:lastRenderedPageBreak/>
        <w:t>Nijerya’nın İthal Ettiği Ürünler (Bin ABD Doları)</w:t>
      </w:r>
      <w:r w:rsidRPr="001F121E">
        <w:rPr>
          <w:rFonts w:ascii="Arial" w:hAnsi="Arial" w:eastAsia="Times New Roman" w:cs="Arial"/>
          <w:color w:val="212529"/>
          <w:sz w:val="24"/>
          <w:szCs w:val="24"/>
          <w:shd w:val="clear" w:color="auto" w:fill="FFFFFF"/>
          <w:lang w:eastAsia="tr-TR"/>
        </w:rPr>
        <w:t> </w:t>
      </w:r>
      <w:r w:rsidRPr="001F121E">
        <w:rPr>
          <w:rFonts w:ascii="Arial" w:hAnsi="Arial" w:eastAsia="Times New Roman" w:cs="Arial"/>
          <w:color w:val="212529"/>
          <w:sz w:val="24"/>
          <w:szCs w:val="24"/>
          <w:lang w:eastAsia="tr-TR"/>
        </w:rPr>
        <w:br/>
      </w:r>
      <w:r w:rsidRPr="001F121E">
        <w:rPr>
          <w:rFonts w:ascii="Arial" w:hAnsi="Arial" w:eastAsia="Times New Roman" w:cs="Arial"/>
          <w:color w:val="212529"/>
          <w:sz w:val="24"/>
          <w:szCs w:val="24"/>
          <w:shd w:val="clear" w:color="auto" w:fill="FFFFFF"/>
          <w:lang w:eastAsia="tr-TR"/>
        </w:rPr>
        <w:t>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29"/>
        <w:gridCol w:w="3906"/>
        <w:gridCol w:w="1510"/>
        <w:gridCol w:w="1515"/>
        <w:gridCol w:w="1660"/>
      </w:tblGrid>
      <w:tr w:rsidRPr="001F121E" w:rsidR="001F121E" w:rsidTr="00D97556">
        <w:tc>
          <w:tcPr>
            <w:tcW w:w="1029" w:type="dxa"/>
            <w:shd w:val="clear" w:color="auto" w:fill="auto"/>
            <w:tcMar>
              <w:top w:w="0" w:type="dxa"/>
              <w:left w:w="108" w:type="dxa"/>
              <w:bottom w:w="0" w:type="dxa"/>
              <w:right w:w="108" w:type="dxa"/>
            </w:tcMa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b/>
                <w:bCs/>
                <w:color w:val="212529"/>
                <w:lang w:eastAsia="tr-TR"/>
              </w:rPr>
              <w:t>GTİP</w:t>
            </w:r>
          </w:p>
        </w:tc>
        <w:tc>
          <w:tcPr>
            <w:tcW w:w="3906" w:type="dxa"/>
            <w:shd w:val="clear" w:color="auto" w:fill="auto"/>
            <w:tcMar>
              <w:top w:w="0" w:type="dxa"/>
              <w:left w:w="108" w:type="dxa"/>
              <w:bottom w:w="0" w:type="dxa"/>
              <w:right w:w="108" w:type="dxa"/>
            </w:tcMa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b/>
                <w:bCs/>
                <w:color w:val="212529"/>
                <w:lang w:eastAsia="tr-TR"/>
              </w:rPr>
              <w:t xml:space="preserve">Ürünler (ilk </w:t>
            </w:r>
            <w:r w:rsidRPr="00D97556" w:rsidR="00D97556">
              <w:rPr>
                <w:rFonts w:eastAsia="Times New Roman" w:cs="Times New Roman"/>
                <w:b/>
                <w:bCs/>
                <w:color w:val="212529"/>
                <w:lang w:eastAsia="tr-TR"/>
              </w:rPr>
              <w:t>1</w:t>
            </w:r>
            <w:r w:rsidRPr="001F121E">
              <w:rPr>
                <w:rFonts w:eastAsia="Times New Roman" w:cs="Times New Roman"/>
                <w:b/>
                <w:bCs/>
                <w:color w:val="212529"/>
                <w:lang w:eastAsia="tr-TR"/>
              </w:rPr>
              <w:t>0)</w:t>
            </w:r>
          </w:p>
        </w:tc>
        <w:tc>
          <w:tcPr>
            <w:tcW w:w="1510" w:type="dxa"/>
            <w:shd w:val="clear" w:color="auto" w:fill="auto"/>
            <w:tcMar>
              <w:top w:w="0" w:type="dxa"/>
              <w:left w:w="108" w:type="dxa"/>
              <w:bottom w:w="0" w:type="dxa"/>
              <w:right w:w="108" w:type="dxa"/>
            </w:tcMa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b/>
                <w:bCs/>
                <w:color w:val="212529"/>
                <w:lang w:eastAsia="tr-TR"/>
              </w:rPr>
              <w:t>2016</w:t>
            </w:r>
          </w:p>
        </w:tc>
        <w:tc>
          <w:tcPr>
            <w:tcW w:w="1515" w:type="dxa"/>
            <w:shd w:val="clear" w:color="auto" w:fill="auto"/>
            <w:tcMar>
              <w:top w:w="0" w:type="dxa"/>
              <w:left w:w="108" w:type="dxa"/>
              <w:bottom w:w="0" w:type="dxa"/>
              <w:right w:w="108" w:type="dxa"/>
            </w:tcMa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b/>
                <w:bCs/>
                <w:color w:val="212529"/>
                <w:lang w:eastAsia="tr-TR"/>
              </w:rPr>
              <w:t>2017</w:t>
            </w:r>
          </w:p>
        </w:tc>
        <w:tc>
          <w:tcPr>
            <w:tcW w:w="1660" w:type="dxa"/>
            <w:shd w:val="clear" w:color="auto" w:fill="auto"/>
            <w:tcMar>
              <w:top w:w="0" w:type="dxa"/>
              <w:left w:w="108" w:type="dxa"/>
              <w:bottom w:w="0" w:type="dxa"/>
              <w:right w:w="108" w:type="dxa"/>
            </w:tcMa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b/>
                <w:bCs/>
                <w:color w:val="212529"/>
                <w:lang w:eastAsia="tr-TR"/>
              </w:rPr>
              <w:t>2018</w:t>
            </w:r>
          </w:p>
        </w:tc>
      </w:tr>
      <w:tr w:rsidRPr="001F121E" w:rsidR="00D97556"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2710</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Petrol yağları ve bitümenli minerallerden elde edilen yağlar</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9.658.020</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7.986.820</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10.589.965</w:t>
            </w:r>
          </w:p>
        </w:tc>
      </w:tr>
      <w:tr w:rsidRPr="001F121E" w:rsidR="001F121E"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8905</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Fener, yangın söndürme, tarak gemileri, yüzer vinçler vb; yüzer havuzlar; yüzer-dalabilen sondaj ve üretim platformları</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182.193</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32.346</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3.321.205</w:t>
            </w:r>
          </w:p>
        </w:tc>
      </w:tr>
      <w:tr w:rsidRPr="001F121E" w:rsidR="00D97556"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1001</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Buğday ve mahlut</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1.114.975</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1.240.606</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1.152.184</w:t>
            </w:r>
          </w:p>
        </w:tc>
      </w:tr>
      <w:tr w:rsidRPr="001F121E" w:rsidR="001F121E"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8703</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Binek otomobilleri ve esas itibariyle insan taşımak üzere imal edilmiş diğer motorlu taşıtlar (yarış rabaları dahil)</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660.827</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669.651</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1.030.026</w:t>
            </w:r>
          </w:p>
        </w:tc>
      </w:tr>
      <w:tr w:rsidRPr="001F121E" w:rsidR="00D97556"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8711</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Motosikletler (mopedler dahil) ve bir yardımcı motoru bulunan tekerlekli taşıtlar (sepetli olsun olmasın); sepetler</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316.277</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276.129</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594.411</w:t>
            </w:r>
          </w:p>
        </w:tc>
      </w:tr>
      <w:tr w:rsidRPr="001F121E" w:rsidR="001F121E"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0303</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Balıklar (dondurulmuş)</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447.452</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533.722</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543.918</w:t>
            </w:r>
          </w:p>
        </w:tc>
      </w:tr>
      <w:tr w:rsidRPr="001F121E" w:rsidR="00D97556"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8517</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Telefon cihazları, ses, görüntü veya diğer bilgileri almaya veya vermeye mahsus diğer cihazlar</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563.343</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334.396</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472.458</w:t>
            </w:r>
          </w:p>
        </w:tc>
      </w:tr>
      <w:tr w:rsidRPr="001F121E" w:rsidR="001F121E"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1701</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Kamış/pancar şekeri ve kimyaca saf sakkaroz (katı halde)</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732.835</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541.173</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446.363</w:t>
            </w:r>
          </w:p>
        </w:tc>
      </w:tr>
      <w:tr w:rsidRPr="001F121E" w:rsidR="00D97556"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3004</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Tedavide veya korunmada kullanılmak üzere hazırlanan ilaçlar (dozlandırılmış)</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432.790</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308.572</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388.438</w:t>
            </w:r>
          </w:p>
        </w:tc>
      </w:tr>
      <w:tr w:rsidRPr="001F121E" w:rsidR="001F121E" w:rsidTr="00D97556">
        <w:tc>
          <w:tcPr>
            <w:tcW w:w="1029"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7208</w:t>
            </w:r>
          </w:p>
        </w:tc>
        <w:tc>
          <w:tcPr>
            <w:tcW w:w="3906" w:type="dxa"/>
            <w:shd w:val="clear" w:color="auto" w:fill="auto"/>
            <w:tcMar>
              <w:top w:w="0" w:type="dxa"/>
              <w:left w:w="108" w:type="dxa"/>
              <w:bottom w:w="0" w:type="dxa"/>
              <w:right w:w="108" w:type="dxa"/>
            </w:tcMar>
            <w:vAlign w:val="bottom"/>
            <w:hideMark/>
          </w:tcPr>
          <w:p w:rsidRPr="001F121E" w:rsidR="001F121E" w:rsidP="00D97556" w:rsidRDefault="001F121E">
            <w:pPr>
              <w:spacing w:after="0" w:line="240" w:lineRule="auto"/>
              <w:jc w:val="both"/>
              <w:rPr>
                <w:rFonts w:eastAsia="Times New Roman" w:cs="Arial"/>
                <w:color w:val="212529"/>
                <w:lang w:eastAsia="tr-TR"/>
              </w:rPr>
            </w:pPr>
            <w:r w:rsidRPr="001F121E">
              <w:rPr>
                <w:rFonts w:eastAsia="Times New Roman" w:cs="Times New Roman"/>
                <w:color w:val="212529"/>
                <w:lang w:eastAsia="tr-TR"/>
              </w:rPr>
              <w:t>Demir veya alaşımsız çelikten yassı hadde ürünleri (genişlik &gt;= 600 mm) (sıcak haddelenmiş) (kaplanmamış)</w:t>
            </w:r>
          </w:p>
        </w:tc>
        <w:tc>
          <w:tcPr>
            <w:tcW w:w="151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239.060</w:t>
            </w:r>
          </w:p>
        </w:tc>
        <w:tc>
          <w:tcPr>
            <w:tcW w:w="1515"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230.635</w:t>
            </w:r>
          </w:p>
        </w:tc>
        <w:tc>
          <w:tcPr>
            <w:tcW w:w="1660" w:type="dxa"/>
            <w:shd w:val="clear" w:color="auto" w:fill="auto"/>
            <w:tcMar>
              <w:top w:w="0" w:type="dxa"/>
              <w:left w:w="108" w:type="dxa"/>
              <w:bottom w:w="0" w:type="dxa"/>
              <w:right w:w="108" w:type="dxa"/>
            </w:tcMar>
            <w:vAlign w:val="center"/>
            <w:hideMark/>
          </w:tcPr>
          <w:p w:rsidRPr="001F121E" w:rsidR="001F121E" w:rsidP="00D97556" w:rsidRDefault="001F121E">
            <w:pPr>
              <w:spacing w:after="0" w:line="240" w:lineRule="auto"/>
              <w:jc w:val="right"/>
              <w:rPr>
                <w:rFonts w:eastAsia="Times New Roman" w:cs="Arial"/>
                <w:color w:val="212529"/>
                <w:lang w:eastAsia="tr-TR"/>
              </w:rPr>
            </w:pPr>
            <w:r w:rsidRPr="001F121E">
              <w:rPr>
                <w:rFonts w:eastAsia="Times New Roman" w:cs="Times New Roman"/>
                <w:color w:val="212529"/>
                <w:lang w:eastAsia="tr-TR"/>
              </w:rPr>
              <w:t>364.594</w:t>
            </w:r>
          </w:p>
        </w:tc>
      </w:tr>
    </w:tbl>
    <w:p w:rsidRPr="00D97556" w:rsidR="00D97556" w:rsidP="00D97556" w:rsidRDefault="00D97556">
      <w:pPr>
        <w:jc w:val="both"/>
      </w:pPr>
    </w:p>
    <w:p w:rsidR="00D97556" w:rsidP="00D97556" w:rsidRDefault="00D97556">
      <w:pPr>
        <w:jc w:val="both"/>
        <w:rPr>
          <w:color w:val="212529"/>
        </w:rPr>
      </w:pPr>
      <w:r w:rsidRPr="00D97556">
        <w:rPr>
          <w:color w:val="212529"/>
        </w:rPr>
        <w:t>Nijerya’nın ithalatındaki başlıca ürünler; petrol yağları, buğday, otomobiller, motosikletler, dondurulmuş balıklar, şeker, telefonlar ve ilaçlardır.</w:t>
      </w:r>
    </w:p>
    <w:p w:rsidR="00D97556" w:rsidP="00D97556" w:rsidRDefault="00D97556">
      <w:pPr>
        <w:jc w:val="both"/>
        <w:rPr>
          <w:color w:val="222222"/>
          <w:shd w:val="clear" w:color="auto" w:fill="FFFFFF"/>
        </w:rPr>
      </w:pPr>
      <w:r w:rsidRPr="00D97556">
        <w:rPr>
          <w:color w:val="222222"/>
          <w:shd w:val="clear" w:color="auto" w:fill="FFFFFF"/>
        </w:rPr>
        <w:t>Nijerya’da son yıllarda 8-10 yaşında kullanılmış araçların ithalatında artışlar yaşanmaktadır. En çok ikinci el araba ABD’den ithal edilmektedir. Ayrıca, özellikle ABD’den ithal edilen traktör ithalatlarının da önemli bir kısmını ikinci el traktörler oluşturmaktadır. Nijerya’da, önümüzdeki yıllarda otomotiv yedek parça ithalatında önemli artışlar olması beklenmektedir.</w:t>
      </w:r>
    </w:p>
    <w:p w:rsidRPr="00D97556" w:rsidR="00D97556" w:rsidP="00D97556" w:rsidRDefault="00D97556">
      <w:pPr>
        <w:rPr>
          <w:rFonts w:ascii="Times New Roman" w:hAnsi="Times New Roman" w:eastAsia="Times New Roman" w:cs="Times New Roman"/>
          <w:sz w:val="24"/>
          <w:szCs w:val="24"/>
          <w:lang w:eastAsia="tr-TR"/>
        </w:rPr>
      </w:pPr>
      <w:r w:rsidRPr="00D97556">
        <w:rPr>
          <w:rFonts w:cs="Arial"/>
          <w:color w:val="212529"/>
        </w:rPr>
        <w:br/>
      </w:r>
      <w:r w:rsidRPr="00D97556">
        <w:rPr>
          <w:rFonts w:cs="Arial"/>
          <w:color w:val="212529"/>
          <w:shd w:val="clear" w:color="auto" w:fill="FFFFFF"/>
        </w:rPr>
        <w:t> </w:t>
      </w:r>
      <w:r w:rsidRPr="00D97556">
        <w:rPr>
          <w:rFonts w:ascii="Times New Roman" w:hAnsi="Times New Roman" w:eastAsia="Times New Roman" w:cs="Times New Roman"/>
          <w:b/>
          <w:bCs/>
          <w:color w:val="212529"/>
          <w:sz w:val="27"/>
          <w:szCs w:val="27"/>
          <w:lang w:eastAsia="tr-TR"/>
        </w:rPr>
        <w:t>Nijerya’nın Ülkeler İtibariyle İthalatı (Bin ABD Doları)</w:t>
      </w:r>
      <w:r w:rsidRPr="00D97556">
        <w:rPr>
          <w:rFonts w:ascii="Arial" w:hAnsi="Arial" w:eastAsia="Times New Roman" w:cs="Arial"/>
          <w:color w:val="212529"/>
          <w:sz w:val="24"/>
          <w:szCs w:val="24"/>
          <w:shd w:val="clear" w:color="auto" w:fill="FFFFFF"/>
          <w:lang w:eastAsia="tr-TR"/>
        </w:rPr>
        <w:t> </w:t>
      </w:r>
      <w:r w:rsidRPr="00D97556">
        <w:rPr>
          <w:rFonts w:ascii="Arial" w:hAnsi="Arial" w:eastAsia="Times New Roman" w:cs="Arial"/>
          <w:color w:val="212529"/>
          <w:sz w:val="24"/>
          <w:szCs w:val="24"/>
          <w:lang w:eastAsia="tr-TR"/>
        </w:rPr>
        <w:br/>
      </w:r>
      <w:r w:rsidRPr="00D97556">
        <w:rPr>
          <w:rFonts w:ascii="Arial" w:hAnsi="Arial" w:eastAsia="Times New Roman" w:cs="Arial"/>
          <w:color w:val="212529"/>
          <w:sz w:val="24"/>
          <w:szCs w:val="24"/>
          <w:shd w:val="clear" w:color="auto" w:fill="FFFFFF"/>
          <w:lang w:eastAsia="tr-TR"/>
        </w:rPr>
        <w:t> </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65"/>
        <w:gridCol w:w="2775"/>
        <w:gridCol w:w="1842"/>
        <w:gridCol w:w="1701"/>
        <w:gridCol w:w="1843"/>
      </w:tblGrid>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b/>
                <w:bCs/>
                <w:color w:val="212529"/>
                <w:lang w:eastAsia="tr-TR"/>
              </w:rPr>
              <w:t>Sıra</w:t>
            </w:r>
          </w:p>
        </w:tc>
        <w:tc>
          <w:tcPr>
            <w:tcW w:w="277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b/>
                <w:bCs/>
                <w:color w:val="212529"/>
                <w:lang w:eastAsia="tr-TR"/>
              </w:rPr>
              <w:t>Ülkeler</w:t>
            </w:r>
          </w:p>
        </w:tc>
        <w:tc>
          <w:tcPr>
            <w:tcW w:w="1842"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b/>
                <w:bCs/>
                <w:color w:val="212529"/>
                <w:lang w:eastAsia="tr-TR"/>
              </w:rPr>
              <w:t>2016</w:t>
            </w:r>
          </w:p>
        </w:tc>
        <w:tc>
          <w:tcPr>
            <w:tcW w:w="1701"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b/>
                <w:bCs/>
                <w:color w:val="212529"/>
                <w:lang w:eastAsia="tr-TR"/>
              </w:rPr>
              <w:t>2017</w:t>
            </w:r>
          </w:p>
        </w:tc>
        <w:tc>
          <w:tcPr>
            <w:tcW w:w="1843"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b/>
                <w:bCs/>
                <w:color w:val="212529"/>
                <w:lang w:eastAsia="tr-TR"/>
              </w:rPr>
              <w:t>2018</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Arial"/>
                <w:color w:val="212529"/>
                <w:lang w:eastAsia="tr-TR"/>
              </w:rPr>
              <w:t> </w:t>
            </w:r>
          </w:p>
        </w:tc>
        <w:tc>
          <w:tcPr>
            <w:tcW w:w="277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b/>
                <w:bCs/>
                <w:color w:val="212529"/>
                <w:lang w:eastAsia="tr-TR"/>
              </w:rPr>
              <w:t>Genel Toplam</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b/>
                <w:bCs/>
                <w:color w:val="212529"/>
                <w:lang w:eastAsia="tr-TR"/>
              </w:rPr>
              <w:t>35.194.301</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b/>
                <w:bCs/>
                <w:color w:val="212529"/>
                <w:lang w:eastAsia="tr-TR"/>
              </w:rPr>
              <w:t>28.915.247</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b/>
                <w:bCs/>
                <w:color w:val="212529"/>
                <w:lang w:eastAsia="tr-TR"/>
              </w:rPr>
              <w:t>36.460.226</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1</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Çin</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6.984.492</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5.358.295</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7.076.767</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2</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Hollanda</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4.116.212</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2.696.232</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4.159.007</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3</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Güney Kore</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386.132</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581.531</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3.945.639</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4</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Belçika</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4.039.448</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3.744.594</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3.083.338</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lastRenderedPageBreak/>
              <w:t>5</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ABD</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2.848.024</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2.291.459</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2.678.076</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6</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Hindistan</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1.818.269</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1.400.306</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1.907.305</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7</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Fransa</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1.392.092</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1.054.472</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1.047.719</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8</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Almanya</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1.069.904</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1.169.389</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990.668</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9</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Birleşik Krallık</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1.504.545</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1.107.725</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920.503</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10</w:t>
            </w:r>
          </w:p>
        </w:tc>
        <w:tc>
          <w:tcPr>
            <w:tcW w:w="2775"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Rusya Federasyonu</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408.790</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634.908</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861.455</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w:t>
            </w:r>
          </w:p>
        </w:tc>
        <w:tc>
          <w:tcPr>
            <w:tcW w:w="277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w:t>
            </w:r>
          </w:p>
        </w:tc>
        <w:tc>
          <w:tcPr>
            <w:tcW w:w="1842"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w:t>
            </w:r>
          </w:p>
        </w:tc>
        <w:tc>
          <w:tcPr>
            <w:tcW w:w="1701"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w:t>
            </w:r>
          </w:p>
        </w:tc>
        <w:tc>
          <w:tcPr>
            <w:tcW w:w="1843"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w:t>
            </w:r>
          </w:p>
        </w:tc>
      </w:tr>
      <w:tr w:rsidRPr="00D97556" w:rsidR="00D97556" w:rsidTr="00D97556">
        <w:trPr>
          <w:trHeight w:val="300"/>
        </w:trPr>
        <w:tc>
          <w:tcPr>
            <w:tcW w:w="76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22</w:t>
            </w:r>
          </w:p>
        </w:tc>
        <w:tc>
          <w:tcPr>
            <w:tcW w:w="2775" w:type="dxa"/>
            <w:shd w:val="clear" w:color="auto" w:fill="auto"/>
            <w:noWrap/>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Türkiye</w:t>
            </w:r>
          </w:p>
        </w:tc>
        <w:tc>
          <w:tcPr>
            <w:tcW w:w="1842"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230.976</w:t>
            </w:r>
          </w:p>
        </w:tc>
        <w:tc>
          <w:tcPr>
            <w:tcW w:w="1701"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245.543</w:t>
            </w:r>
          </w:p>
        </w:tc>
        <w:tc>
          <w:tcPr>
            <w:tcW w:w="1843" w:type="dxa"/>
            <w:shd w:val="clear" w:color="auto" w:fill="auto"/>
            <w:noWrap/>
            <w:tcMar>
              <w:top w:w="0" w:type="dxa"/>
              <w:left w:w="108" w:type="dxa"/>
              <w:bottom w:w="0" w:type="dxa"/>
              <w:right w:w="108" w:type="dxa"/>
            </w:tcMar>
            <w:vAlign w:val="center"/>
            <w:hideMark/>
          </w:tcPr>
          <w:p w:rsidRPr="00D97556" w:rsidR="00D97556" w:rsidP="00D97556" w:rsidRDefault="00D97556">
            <w:pPr>
              <w:spacing w:before="100" w:beforeAutospacing="1" w:after="100" w:afterAutospacing="1" w:line="240" w:lineRule="auto"/>
              <w:jc w:val="right"/>
              <w:rPr>
                <w:rFonts w:eastAsia="Times New Roman" w:cs="Arial"/>
                <w:color w:val="212529"/>
                <w:lang w:eastAsia="tr-TR"/>
              </w:rPr>
            </w:pPr>
            <w:r w:rsidRPr="00D97556">
              <w:rPr>
                <w:rFonts w:eastAsia="Times New Roman" w:cs="Times New Roman"/>
                <w:color w:val="212529"/>
                <w:lang w:eastAsia="tr-TR"/>
              </w:rPr>
              <w:t>310.680</w:t>
            </w:r>
          </w:p>
        </w:tc>
      </w:tr>
    </w:tbl>
    <w:p w:rsidR="00D97556" w:rsidP="00D97556" w:rsidRDefault="00D97556">
      <w:pPr>
        <w:spacing w:after="100" w:afterAutospacing="1" w:line="240" w:lineRule="auto"/>
        <w:jc w:val="both"/>
        <w:rPr>
          <w:rFonts w:ascii="Times New Roman" w:hAnsi="Times New Roman" w:eastAsia="Times New Roman" w:cs="Times New Roman"/>
          <w:color w:val="212529"/>
          <w:sz w:val="20"/>
          <w:szCs w:val="20"/>
          <w:lang w:eastAsia="tr-TR"/>
        </w:rPr>
      </w:pPr>
      <w:r>
        <w:rPr>
          <w:rFonts w:ascii="Times New Roman" w:hAnsi="Times New Roman" w:eastAsia="Times New Roman" w:cs="Times New Roman"/>
          <w:color w:val="212529"/>
          <w:sz w:val="20"/>
          <w:szCs w:val="20"/>
          <w:lang w:eastAsia="tr-TR"/>
        </w:rPr>
        <w:t>Kaynak: Ticaret Bakanlığı</w:t>
      </w:r>
    </w:p>
    <w:p w:rsidRPr="00D97556" w:rsidR="00D97556" w:rsidP="00D97556" w:rsidRDefault="00D97556">
      <w:pPr>
        <w:spacing w:after="100" w:afterAutospacing="1" w:line="240" w:lineRule="auto"/>
        <w:jc w:val="both"/>
        <w:rPr>
          <w:rFonts w:eastAsia="Times New Roman" w:cs="Arial"/>
          <w:color w:val="212529"/>
          <w:lang w:eastAsia="tr-TR"/>
        </w:rPr>
      </w:pPr>
      <w:r w:rsidRPr="00D97556">
        <w:rPr>
          <w:rFonts w:eastAsia="Times New Roman" w:cs="Times New Roman"/>
          <w:color w:val="212529"/>
          <w:lang w:eastAsia="tr-TR"/>
        </w:rPr>
        <w:t>Nijerya’nın ithalatında en büyük tedarikçiler, Çin, Hollanda, Güney Kore, Belçika ve ABD’dir.  Nijerya’nın ithalatında ülkemiz ise 22. sırada yer almaktadır.</w:t>
      </w:r>
    </w:p>
    <w:p w:rsidRPr="00D97556" w:rsidR="00D97556" w:rsidP="00D97556" w:rsidRDefault="00DC2383">
      <w:pPr>
        <w:spacing w:after="100" w:afterAutospacing="1" w:line="240" w:lineRule="auto"/>
        <w:jc w:val="both"/>
        <w:rPr>
          <w:rFonts w:ascii="Arial" w:hAnsi="Arial" w:eastAsia="Times New Roman" w:cs="Arial"/>
          <w:color w:val="212529"/>
          <w:sz w:val="24"/>
          <w:szCs w:val="24"/>
          <w:lang w:eastAsia="tr-TR"/>
        </w:rPr>
      </w:pPr>
      <w:r>
        <w:rPr>
          <w:rFonts w:ascii="Arial" w:hAnsi="Arial" w:eastAsia="Times New Roman" w:cs="Arial"/>
          <w:b/>
          <w:bCs/>
          <w:color w:val="212529"/>
          <w:sz w:val="24"/>
          <w:szCs w:val="24"/>
          <w:lang w:eastAsia="tr-TR"/>
        </w:rPr>
        <w:t xml:space="preserve">TÜRKİYE İLE </w:t>
      </w:r>
      <w:r w:rsidRPr="00D97556" w:rsidR="00D97556">
        <w:rPr>
          <w:rFonts w:ascii="Arial" w:hAnsi="Arial" w:eastAsia="Times New Roman" w:cs="Arial"/>
          <w:b/>
          <w:bCs/>
          <w:color w:val="212529"/>
          <w:sz w:val="24"/>
          <w:szCs w:val="24"/>
          <w:lang w:eastAsia="tr-TR"/>
        </w:rPr>
        <w:t>TİCARET</w:t>
      </w:r>
    </w:p>
    <w:p w:rsidR="00D97556" w:rsidP="00D97556" w:rsidRDefault="00D97556">
      <w:pPr>
        <w:spacing w:after="100" w:afterAutospacing="1" w:line="240" w:lineRule="auto"/>
        <w:jc w:val="both"/>
        <w:rPr>
          <w:rFonts w:eastAsia="Times New Roman" w:cs="Times New Roman"/>
          <w:color w:val="212529"/>
          <w:lang w:eastAsia="tr-TR"/>
        </w:rPr>
      </w:pPr>
      <w:r w:rsidRPr="00D97556">
        <w:rPr>
          <w:rFonts w:eastAsia="Times New Roman" w:cs="Times New Roman"/>
          <w:color w:val="212529"/>
          <w:lang w:eastAsia="tr-TR"/>
        </w:rPr>
        <w:t>Son 10 yılda Nijerya’ya gerçekleştirilen ihracatımız artışlı azalışlı dalgalı bir seyir izlemektedir. 2018 yılında ülkeye olan ihracatımız 346 milyon dolar olarak gerçekleşmiştir.</w:t>
      </w:r>
    </w:p>
    <w:p w:rsidRPr="00D97556" w:rsidR="00D97556" w:rsidP="00D97556" w:rsidRDefault="00D97556">
      <w:pPr>
        <w:spacing w:after="100" w:afterAutospacing="1" w:line="240" w:lineRule="auto"/>
        <w:jc w:val="both"/>
        <w:rPr>
          <w:rFonts w:ascii="Arial" w:hAnsi="Arial" w:eastAsia="Times New Roman" w:cs="Arial"/>
          <w:color w:val="212529"/>
          <w:sz w:val="24"/>
          <w:szCs w:val="24"/>
          <w:lang w:eastAsia="tr-TR"/>
        </w:rPr>
      </w:pPr>
      <w:r w:rsidRPr="00D97556">
        <w:rPr>
          <w:rFonts w:ascii="Arial" w:hAnsi="Arial" w:eastAsia="Times New Roman" w:cs="Arial"/>
          <w:color w:val="212529"/>
          <w:sz w:val="24"/>
          <w:szCs w:val="24"/>
          <w:lang w:eastAsia="tr-TR"/>
        </w:rPr>
        <w:t> </w:t>
      </w:r>
      <w:r w:rsidRPr="00D97556">
        <w:rPr>
          <w:rFonts w:ascii="Arial" w:hAnsi="Arial" w:eastAsia="Times New Roman" w:cs="Arial"/>
          <w:color w:val="212529"/>
          <w:sz w:val="24"/>
          <w:szCs w:val="24"/>
          <w:lang w:eastAsia="tr-TR"/>
        </w:rPr>
        <w:br/>
      </w:r>
      <w:r w:rsidRPr="00D97556">
        <w:rPr>
          <w:rFonts w:ascii="Times New Roman" w:hAnsi="Times New Roman" w:eastAsia="Times New Roman" w:cs="Times New Roman"/>
          <w:b/>
          <w:bCs/>
          <w:color w:val="212529"/>
          <w:sz w:val="27"/>
          <w:szCs w:val="27"/>
          <w:lang w:eastAsia="tr-TR"/>
        </w:rPr>
        <w:t>Türkiye-Nijerya Dış Ticaret Değerleri (1.000 ABD Doları)</w:t>
      </w:r>
    </w:p>
    <w:tbl>
      <w:tblPr>
        <w:tblW w:w="0" w:type="auto"/>
        <w:tblInd w:w="108" w:type="dxa"/>
        <w:tblCellMar>
          <w:left w:w="0" w:type="dxa"/>
          <w:right w:w="0" w:type="dxa"/>
        </w:tblCellMar>
        <w:tblLook w:val="04A0" w:firstRow="1" w:lastRow="0" w:firstColumn="1" w:lastColumn="0" w:noHBand="0" w:noVBand="1"/>
      </w:tblPr>
      <w:tblGrid>
        <w:gridCol w:w="1980"/>
        <w:gridCol w:w="1560"/>
        <w:gridCol w:w="1560"/>
        <w:gridCol w:w="1275"/>
        <w:gridCol w:w="1695"/>
      </w:tblGrid>
      <w:tr w:rsidRPr="00D97556" w:rsidR="00D97556" w:rsidTr="00D97556">
        <w:trPr>
          <w:trHeight w:val="255"/>
        </w:trPr>
        <w:tc>
          <w:tcPr>
            <w:tcW w:w="1980" w:type="dxa"/>
            <w:tcBorders>
              <w:top w:val="single" w:color="auto" w:sz="8" w:space="0"/>
              <w:left w:val="single" w:color="auto" w:sz="8" w:space="0"/>
              <w:bottom w:val="single" w:color="auto" w:sz="8" w:space="0"/>
              <w:right w:val="single" w:color="auto" w:sz="8" w:space="0"/>
            </w:tcBorders>
            <w:shd w:val="clear" w:color="auto" w:fill="D0CECE"/>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b/>
                <w:bCs/>
                <w:color w:val="212529"/>
                <w:sz w:val="27"/>
                <w:szCs w:val="27"/>
                <w:lang w:eastAsia="tr-TR"/>
              </w:rPr>
              <w:t>YILLAR</w:t>
            </w:r>
          </w:p>
        </w:tc>
        <w:tc>
          <w:tcPr>
            <w:tcW w:w="1560" w:type="dxa"/>
            <w:tcBorders>
              <w:top w:val="single" w:color="auto" w:sz="8" w:space="0"/>
              <w:left w:val="nil"/>
              <w:bottom w:val="single" w:color="auto" w:sz="8" w:space="0"/>
              <w:right w:val="single" w:color="auto" w:sz="8" w:space="0"/>
            </w:tcBorders>
            <w:shd w:val="clear" w:color="auto" w:fill="D0CECE"/>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b/>
                <w:bCs/>
                <w:color w:val="212529"/>
                <w:sz w:val="27"/>
                <w:szCs w:val="27"/>
                <w:lang w:eastAsia="tr-TR"/>
              </w:rPr>
              <w:t>İHRACAT</w:t>
            </w:r>
          </w:p>
        </w:tc>
        <w:tc>
          <w:tcPr>
            <w:tcW w:w="1560" w:type="dxa"/>
            <w:tcBorders>
              <w:top w:val="single" w:color="auto" w:sz="8" w:space="0"/>
              <w:left w:val="nil"/>
              <w:bottom w:val="single" w:color="auto" w:sz="8" w:space="0"/>
              <w:right w:val="single" w:color="auto" w:sz="8" w:space="0"/>
            </w:tcBorders>
            <w:shd w:val="clear" w:color="auto" w:fill="D0CECE"/>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b/>
                <w:bCs/>
                <w:color w:val="212529"/>
                <w:sz w:val="27"/>
                <w:szCs w:val="27"/>
                <w:lang w:eastAsia="tr-TR"/>
              </w:rPr>
              <w:t>İTHALAT</w:t>
            </w:r>
          </w:p>
        </w:tc>
        <w:tc>
          <w:tcPr>
            <w:tcW w:w="1275" w:type="dxa"/>
            <w:tcBorders>
              <w:top w:val="single" w:color="auto" w:sz="8" w:space="0"/>
              <w:left w:val="nil"/>
              <w:bottom w:val="single" w:color="auto" w:sz="8" w:space="0"/>
              <w:right w:val="single" w:color="auto" w:sz="8" w:space="0"/>
            </w:tcBorders>
            <w:shd w:val="clear" w:color="auto" w:fill="D0CECE"/>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b/>
                <w:bCs/>
                <w:color w:val="212529"/>
                <w:sz w:val="27"/>
                <w:szCs w:val="27"/>
                <w:lang w:eastAsia="tr-TR"/>
              </w:rPr>
              <w:t>HACİM</w:t>
            </w:r>
          </w:p>
        </w:tc>
        <w:tc>
          <w:tcPr>
            <w:tcW w:w="1695" w:type="dxa"/>
            <w:tcBorders>
              <w:top w:val="single" w:color="auto" w:sz="8" w:space="0"/>
              <w:left w:val="nil"/>
              <w:bottom w:val="single" w:color="auto" w:sz="8" w:space="0"/>
              <w:right w:val="single" w:color="auto" w:sz="8" w:space="0"/>
            </w:tcBorders>
            <w:shd w:val="clear" w:color="auto" w:fill="D0CECE"/>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b/>
                <w:bCs/>
                <w:color w:val="212529"/>
                <w:sz w:val="27"/>
                <w:szCs w:val="27"/>
                <w:lang w:eastAsia="tr-TR"/>
              </w:rPr>
              <w:t>DENGE</w:t>
            </w:r>
          </w:p>
        </w:tc>
      </w:tr>
      <w:tr w:rsidRPr="00D97556" w:rsidR="00D97556" w:rsidTr="00D97556">
        <w:trPr>
          <w:trHeight w:val="315"/>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b/>
                <w:bCs/>
                <w:color w:val="212529"/>
                <w:sz w:val="27"/>
                <w:szCs w:val="27"/>
                <w:lang w:eastAsia="tr-TR"/>
              </w:rPr>
              <w:t>2015</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313.984</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189.985</w:t>
            </w:r>
          </w:p>
        </w:tc>
        <w:tc>
          <w:tcPr>
            <w:tcW w:w="1275" w:type="dxa"/>
            <w:tcBorders>
              <w:top w:val="nil"/>
              <w:left w:val="nil"/>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503.969</w:t>
            </w:r>
          </w:p>
        </w:tc>
        <w:tc>
          <w:tcPr>
            <w:tcW w:w="1695" w:type="dxa"/>
            <w:tcBorders>
              <w:top w:val="nil"/>
              <w:left w:val="nil"/>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123.999</w:t>
            </w:r>
          </w:p>
        </w:tc>
      </w:tr>
      <w:tr w:rsidRPr="00D97556" w:rsidR="00D97556" w:rsidTr="00D97556">
        <w:trPr>
          <w:trHeight w:val="315"/>
        </w:trPr>
        <w:tc>
          <w:tcPr>
            <w:tcW w:w="198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b/>
                <w:bCs/>
                <w:color w:val="212529"/>
                <w:sz w:val="27"/>
                <w:szCs w:val="27"/>
                <w:lang w:eastAsia="tr-TR"/>
              </w:rPr>
              <w:t>2016</w:t>
            </w:r>
          </w:p>
        </w:tc>
        <w:tc>
          <w:tcPr>
            <w:tcW w:w="15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241.604</w:t>
            </w:r>
          </w:p>
        </w:tc>
        <w:tc>
          <w:tcPr>
            <w:tcW w:w="15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157.814</w:t>
            </w:r>
          </w:p>
        </w:tc>
        <w:tc>
          <w:tcPr>
            <w:tcW w:w="127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399.418</w:t>
            </w:r>
          </w:p>
        </w:tc>
        <w:tc>
          <w:tcPr>
            <w:tcW w:w="169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83.790</w:t>
            </w:r>
          </w:p>
        </w:tc>
      </w:tr>
      <w:tr w:rsidRPr="00D97556" w:rsidR="00D97556" w:rsidTr="00D97556">
        <w:trPr>
          <w:trHeight w:val="315"/>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b/>
                <w:bCs/>
                <w:color w:val="212529"/>
                <w:sz w:val="27"/>
                <w:szCs w:val="27"/>
                <w:lang w:eastAsia="tr-TR"/>
              </w:rPr>
              <w:t>2017</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335.424</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156.286</w:t>
            </w:r>
          </w:p>
        </w:tc>
        <w:tc>
          <w:tcPr>
            <w:tcW w:w="1275" w:type="dxa"/>
            <w:tcBorders>
              <w:top w:val="nil"/>
              <w:left w:val="nil"/>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491.710</w:t>
            </w:r>
          </w:p>
        </w:tc>
        <w:tc>
          <w:tcPr>
            <w:tcW w:w="1695" w:type="dxa"/>
            <w:tcBorders>
              <w:top w:val="nil"/>
              <w:left w:val="nil"/>
              <w:bottom w:val="single" w:color="auto" w:sz="8" w:space="0"/>
              <w:right w:val="single" w:color="auto" w:sz="8" w:space="0"/>
            </w:tcBorders>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179.138</w:t>
            </w:r>
          </w:p>
        </w:tc>
      </w:tr>
      <w:tr w:rsidRPr="00D97556" w:rsidR="00D97556" w:rsidTr="00D97556">
        <w:trPr>
          <w:trHeight w:val="315"/>
        </w:trPr>
        <w:tc>
          <w:tcPr>
            <w:tcW w:w="1980" w:type="dxa"/>
            <w:tcBorders>
              <w:top w:val="nil"/>
              <w:left w:val="single" w:color="auto" w:sz="8" w:space="0"/>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b/>
                <w:bCs/>
                <w:color w:val="212529"/>
                <w:sz w:val="27"/>
                <w:szCs w:val="27"/>
                <w:lang w:eastAsia="tr-TR"/>
              </w:rPr>
              <w:t>2018</w:t>
            </w:r>
          </w:p>
        </w:tc>
        <w:tc>
          <w:tcPr>
            <w:tcW w:w="15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346.286</w:t>
            </w:r>
          </w:p>
        </w:tc>
        <w:tc>
          <w:tcPr>
            <w:tcW w:w="1560" w:type="dxa"/>
            <w:tcBorders>
              <w:top w:val="nil"/>
              <w:left w:val="nil"/>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143.432</w:t>
            </w:r>
          </w:p>
        </w:tc>
        <w:tc>
          <w:tcPr>
            <w:tcW w:w="127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489.718</w:t>
            </w:r>
          </w:p>
        </w:tc>
        <w:tc>
          <w:tcPr>
            <w:tcW w:w="1695" w:type="dxa"/>
            <w:tcBorders>
              <w:top w:val="nil"/>
              <w:left w:val="nil"/>
              <w:bottom w:val="single" w:color="auto" w:sz="8" w:space="0"/>
              <w:right w:val="single" w:color="auto" w:sz="8" w:space="0"/>
            </w:tcBorders>
            <w:shd w:val="clear" w:color="auto" w:fill="F2F2F2"/>
            <w:tcMar>
              <w:top w:w="0" w:type="dxa"/>
              <w:left w:w="108" w:type="dxa"/>
              <w:bottom w:w="0" w:type="dxa"/>
              <w:right w:w="108" w:type="dxa"/>
            </w:tcMar>
            <w:hideMark/>
          </w:tcPr>
          <w:p w:rsidRPr="00D97556" w:rsidR="00D97556" w:rsidP="00D97556" w:rsidRDefault="00D97556">
            <w:pPr>
              <w:spacing w:before="100" w:beforeAutospacing="1" w:after="100" w:afterAutospacing="1" w:line="240" w:lineRule="auto"/>
              <w:jc w:val="both"/>
              <w:rPr>
                <w:rFonts w:ascii="Arial" w:hAnsi="Arial" w:eastAsia="Times New Roman" w:cs="Arial"/>
                <w:color w:val="212529"/>
                <w:sz w:val="24"/>
                <w:szCs w:val="24"/>
                <w:lang w:eastAsia="tr-TR"/>
              </w:rPr>
            </w:pPr>
            <w:r w:rsidRPr="00D97556">
              <w:rPr>
                <w:rFonts w:ascii="Times New Roman" w:hAnsi="Times New Roman" w:eastAsia="Times New Roman" w:cs="Times New Roman"/>
                <w:color w:val="000000"/>
                <w:sz w:val="27"/>
                <w:szCs w:val="27"/>
                <w:lang w:eastAsia="tr-TR"/>
              </w:rPr>
              <w:t>202.854</w:t>
            </w:r>
          </w:p>
        </w:tc>
      </w:tr>
    </w:tbl>
    <w:p w:rsidRPr="00D97556" w:rsidR="001F121E" w:rsidP="00D97556" w:rsidRDefault="001F121E">
      <w:pPr>
        <w:jc w:val="both"/>
      </w:pPr>
    </w:p>
    <w:p w:rsidR="00D97556" w:rsidP="00D97556" w:rsidRDefault="00D97556">
      <w:pPr>
        <w:spacing w:after="100" w:afterAutospacing="1" w:line="240" w:lineRule="auto"/>
        <w:jc w:val="both"/>
        <w:rPr>
          <w:rFonts w:ascii="Arial" w:hAnsi="Arial" w:eastAsia="Times New Roman" w:cs="Arial"/>
          <w:b/>
          <w:bCs/>
          <w:color w:val="212529"/>
          <w:sz w:val="24"/>
          <w:szCs w:val="24"/>
          <w:lang w:eastAsia="tr-TR"/>
        </w:rPr>
      </w:pPr>
      <w:r w:rsidRPr="00D97556">
        <w:rPr>
          <w:rFonts w:ascii="Times New Roman" w:hAnsi="Times New Roman" w:eastAsia="Times New Roman" w:cs="Times New Roman"/>
          <w:b/>
          <w:bCs/>
          <w:color w:val="212529"/>
          <w:sz w:val="27"/>
          <w:szCs w:val="27"/>
          <w:lang w:eastAsia="tr-TR"/>
        </w:rPr>
        <w:t>Türkiye'nin Nijerya'ya İhracatı (1.000 ABD Doları)</w:t>
      </w:r>
      <w:r w:rsidRPr="00D97556">
        <w:rPr>
          <w:rFonts w:ascii="Arial" w:hAnsi="Arial" w:eastAsia="Times New Roman" w:cs="Arial"/>
          <w:b/>
          <w:bCs/>
          <w:color w:val="212529"/>
          <w:sz w:val="24"/>
          <w:szCs w:val="24"/>
          <w:lang w:eastAsia="tr-TR"/>
        </w:rPr>
        <w:t> </w:t>
      </w:r>
    </w:p>
    <w:tbl>
      <w:tblPr>
        <w:tblW w:w="5241" w:type="pct"/>
        <w:tblCellMar>
          <w:left w:w="0" w:type="dxa"/>
          <w:right w:w="0" w:type="dxa"/>
        </w:tblCellMar>
        <w:tblLook w:val="04A0" w:firstRow="1" w:lastRow="0" w:firstColumn="1" w:lastColumn="0" w:noHBand="0" w:noVBand="1"/>
      </w:tblPr>
      <w:tblGrid>
        <w:gridCol w:w="850"/>
        <w:gridCol w:w="5306"/>
        <w:gridCol w:w="1275"/>
        <w:gridCol w:w="1134"/>
        <w:gridCol w:w="1418"/>
      </w:tblGrid>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GTİP</w:t>
            </w:r>
          </w:p>
        </w:tc>
        <w:tc>
          <w:tcPr>
            <w:tcW w:w="5306"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Ürünler (ilk 10 ürün)</w:t>
            </w:r>
          </w:p>
        </w:tc>
        <w:tc>
          <w:tcPr>
            <w:tcW w:w="1275"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2016</w:t>
            </w:r>
          </w:p>
        </w:tc>
        <w:tc>
          <w:tcPr>
            <w:tcW w:w="1134"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2017</w:t>
            </w:r>
          </w:p>
        </w:tc>
        <w:tc>
          <w:tcPr>
            <w:tcW w:w="1418"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2018</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7308</w:t>
            </w:r>
          </w:p>
        </w:tc>
        <w:tc>
          <w:tcPr>
            <w:tcW w:w="5306"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Demir veya çelikten inşaat ve inşaat aksamı, inşaatta kullanılmak üzere hazırlanmış demir veya çelikten sac, çubuk, vb.</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18.659</w:t>
            </w:r>
          </w:p>
        </w:tc>
        <w:tc>
          <w:tcPr>
            <w:tcW w:w="1134"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20.573</w:t>
            </w:r>
          </w:p>
        </w:tc>
        <w:tc>
          <w:tcPr>
            <w:tcW w:w="1418"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24.435</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2520</w:t>
            </w:r>
          </w:p>
        </w:tc>
        <w:tc>
          <w:tcPr>
            <w:tcW w:w="5306"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Alçı taşı, anhidrit ve alçılar</w:t>
            </w:r>
          </w:p>
        </w:tc>
        <w:tc>
          <w:tcPr>
            <w:tcW w:w="1275"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12.531</w:t>
            </w:r>
          </w:p>
        </w:tc>
        <w:tc>
          <w:tcPr>
            <w:tcW w:w="1134"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17.242</w:t>
            </w:r>
          </w:p>
        </w:tc>
        <w:tc>
          <w:tcPr>
            <w:tcW w:w="1418"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16.750</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8544</w:t>
            </w:r>
          </w:p>
        </w:tc>
        <w:tc>
          <w:tcPr>
            <w:tcW w:w="5306"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İzole edilmiş teller, kablolar ve diğer elektrik iletkenler; tek tek kaplanmış liflerden oluşan fiber optik kablolar</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5.135</w:t>
            </w:r>
          </w:p>
        </w:tc>
        <w:tc>
          <w:tcPr>
            <w:tcW w:w="1134"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7.908</w:t>
            </w:r>
          </w:p>
        </w:tc>
        <w:tc>
          <w:tcPr>
            <w:tcW w:w="1418"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14.754</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7216</w:t>
            </w:r>
          </w:p>
        </w:tc>
        <w:tc>
          <w:tcPr>
            <w:tcW w:w="5306"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Demir veya alaşımsız çelikten profiller</w:t>
            </w:r>
          </w:p>
        </w:tc>
        <w:tc>
          <w:tcPr>
            <w:tcW w:w="1275"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607</w:t>
            </w:r>
          </w:p>
        </w:tc>
        <w:tc>
          <w:tcPr>
            <w:tcW w:w="1134"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3.715</w:t>
            </w:r>
          </w:p>
        </w:tc>
        <w:tc>
          <w:tcPr>
            <w:tcW w:w="1418"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11.393</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8504</w:t>
            </w:r>
          </w:p>
        </w:tc>
        <w:tc>
          <w:tcPr>
            <w:tcW w:w="5306"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Elektrik transformatörleri, statik konvertörler (örneğin; redresörler) ve endüktörler</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6.861</w:t>
            </w:r>
          </w:p>
        </w:tc>
        <w:tc>
          <w:tcPr>
            <w:tcW w:w="1134"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9.196</w:t>
            </w:r>
          </w:p>
        </w:tc>
        <w:tc>
          <w:tcPr>
            <w:tcW w:w="1418"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10.916</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1702</w:t>
            </w:r>
          </w:p>
        </w:tc>
        <w:tc>
          <w:tcPr>
            <w:tcW w:w="5306"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 xml:space="preserve">Diğer şekerler (kimyaca saf laktoz/maltoz/glikoz/fruktoz), </w:t>
            </w:r>
            <w:r w:rsidRPr="00D97556">
              <w:rPr>
                <w:rFonts w:eastAsia="Times New Roman" w:cs="Times New Roman"/>
                <w:color w:val="212529"/>
                <w:lang w:eastAsia="tr-TR"/>
              </w:rPr>
              <w:lastRenderedPageBreak/>
              <w:t>şeker şurupları, suni bal ve karamel</w:t>
            </w:r>
          </w:p>
        </w:tc>
        <w:tc>
          <w:tcPr>
            <w:tcW w:w="1275"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lastRenderedPageBreak/>
              <w:t>8.933</w:t>
            </w:r>
          </w:p>
        </w:tc>
        <w:tc>
          <w:tcPr>
            <w:tcW w:w="1134"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12.113</w:t>
            </w:r>
          </w:p>
        </w:tc>
        <w:tc>
          <w:tcPr>
            <w:tcW w:w="1418"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10.031</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3906</w:t>
            </w:r>
          </w:p>
        </w:tc>
        <w:tc>
          <w:tcPr>
            <w:tcW w:w="5306"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Akrilik polimerleri (ilk şekillerde)</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6.338</w:t>
            </w:r>
          </w:p>
        </w:tc>
        <w:tc>
          <w:tcPr>
            <w:tcW w:w="1134"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7.643</w:t>
            </w:r>
          </w:p>
        </w:tc>
        <w:tc>
          <w:tcPr>
            <w:tcW w:w="1418"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9.690</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1108</w:t>
            </w:r>
          </w:p>
        </w:tc>
        <w:tc>
          <w:tcPr>
            <w:tcW w:w="5306"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Nişastalar ve inülin</w:t>
            </w:r>
          </w:p>
        </w:tc>
        <w:tc>
          <w:tcPr>
            <w:tcW w:w="1275"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6.871</w:t>
            </w:r>
          </w:p>
        </w:tc>
        <w:tc>
          <w:tcPr>
            <w:tcW w:w="1134"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13.739</w:t>
            </w:r>
          </w:p>
        </w:tc>
        <w:tc>
          <w:tcPr>
            <w:tcW w:w="1418"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9.086</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8437</w:t>
            </w:r>
          </w:p>
        </w:tc>
        <w:tc>
          <w:tcPr>
            <w:tcW w:w="5306"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Tohum, hububat, kuru baklagilleri temizleme, tasnif etme ayıklama ve öğütmeye mahsus makina ve cihazlar</w:t>
            </w:r>
          </w:p>
        </w:tc>
        <w:tc>
          <w:tcPr>
            <w:tcW w:w="1275"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1.932</w:t>
            </w:r>
          </w:p>
        </w:tc>
        <w:tc>
          <w:tcPr>
            <w:tcW w:w="1134"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2.052</w:t>
            </w:r>
          </w:p>
        </w:tc>
        <w:tc>
          <w:tcPr>
            <w:tcW w:w="1418"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7.423</w:t>
            </w:r>
          </w:p>
        </w:tc>
      </w:tr>
      <w:tr w:rsidRPr="00D97556" w:rsidR="00D97556" w:rsidTr="00D97556">
        <w:tc>
          <w:tcPr>
            <w:tcW w:w="850"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8516</w:t>
            </w:r>
          </w:p>
        </w:tc>
        <w:tc>
          <w:tcPr>
            <w:tcW w:w="5306"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Elektrikli su ısıtıcıları, elektrotermik cihazlar, ortam ısıtıcıları, saç ve el kurutucuları, ütüler, rezistanlar</w:t>
            </w:r>
          </w:p>
        </w:tc>
        <w:tc>
          <w:tcPr>
            <w:tcW w:w="1275"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2.007</w:t>
            </w:r>
          </w:p>
        </w:tc>
        <w:tc>
          <w:tcPr>
            <w:tcW w:w="1134"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5.140</w:t>
            </w:r>
          </w:p>
        </w:tc>
        <w:tc>
          <w:tcPr>
            <w:tcW w:w="1418" w:type="dxa"/>
            <w:tcBorders>
              <w:top w:val="outset" w:color="000000" w:sz="6" w:space="0"/>
              <w:left w:val="outset" w:color="000000" w:sz="6" w:space="0"/>
              <w:bottom w:val="outset" w:color="000000" w:sz="6" w:space="0"/>
              <w:right w:val="outset" w:color="000000" w:sz="6" w:space="0"/>
            </w:tcBorders>
            <w:shd w:val="clear" w:color="auto" w:fill="F7F6F3"/>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7.249</w:t>
            </w:r>
          </w:p>
        </w:tc>
      </w:tr>
    </w:tbl>
    <w:p w:rsidR="00D97556" w:rsidRDefault="00D97556">
      <w:pPr>
        <w:jc w:val="both"/>
      </w:pPr>
    </w:p>
    <w:p w:rsidR="00D97556" w:rsidP="00D97556" w:rsidRDefault="00D97556">
      <w:pPr>
        <w:rPr>
          <w:rFonts w:ascii="Arial" w:hAnsi="Arial" w:cs="Arial"/>
          <w:color w:val="212529"/>
          <w:shd w:val="clear" w:color="auto" w:fill="FFFFFF"/>
        </w:rPr>
      </w:pPr>
      <w:r w:rsidRPr="00D97556">
        <w:rPr>
          <w:color w:val="212529"/>
        </w:rPr>
        <w:t>2018 yılında Nijerya’ya gerçekleşen yaklaşık 346 milyon dolarlık ihracatımızın ilk sıralarında, Demir veya çelikten inşaat ve inşat aksamı; alçılar; kablolar ve demir veya alaşımsız çelikten profiller yer almıştır. </w:t>
      </w:r>
      <w:r w:rsidRPr="00D97556">
        <w:rPr>
          <w:rFonts w:ascii="Arial" w:hAnsi="Arial" w:cs="Arial"/>
          <w:color w:val="212529"/>
        </w:rPr>
        <w:br/>
      </w:r>
      <w:r w:rsidRPr="00D97556">
        <w:rPr>
          <w:rFonts w:ascii="Arial" w:hAnsi="Arial" w:cs="Arial"/>
          <w:color w:val="212529"/>
          <w:shd w:val="clear" w:color="auto" w:fill="FFFFFF"/>
        </w:rPr>
        <w:t> </w:t>
      </w:r>
    </w:p>
    <w:p w:rsidRPr="00D97556" w:rsidR="00D97556" w:rsidP="00D97556" w:rsidRDefault="00D97556">
      <w:pPr>
        <w:spacing w:after="0" w:line="240" w:lineRule="auto"/>
        <w:rPr>
          <w:rFonts w:ascii="Times New Roman" w:hAnsi="Times New Roman" w:eastAsia="Times New Roman" w:cs="Times New Roman"/>
          <w:sz w:val="24"/>
          <w:szCs w:val="24"/>
          <w:lang w:eastAsia="tr-TR"/>
        </w:rPr>
      </w:pPr>
      <w:r w:rsidRPr="00D97556">
        <w:rPr>
          <w:rFonts w:ascii="Times New Roman" w:hAnsi="Times New Roman" w:eastAsia="Times New Roman" w:cs="Times New Roman"/>
          <w:b/>
          <w:bCs/>
          <w:color w:val="212529"/>
          <w:sz w:val="27"/>
          <w:szCs w:val="27"/>
          <w:lang w:eastAsia="tr-TR"/>
        </w:rPr>
        <w:t>Türkiye’nin Nijerya’dan İthalatı </w:t>
      </w:r>
      <w:r w:rsidRPr="00D97556">
        <w:rPr>
          <w:rFonts w:ascii="Arial" w:hAnsi="Arial" w:eastAsia="Times New Roman" w:cs="Arial"/>
          <w:b/>
          <w:bCs/>
          <w:color w:val="212529"/>
          <w:sz w:val="24"/>
          <w:szCs w:val="24"/>
          <w:lang w:eastAsia="tr-TR"/>
        </w:rPr>
        <w:t>(1.000 ABD Doları) </w:t>
      </w:r>
      <w:r w:rsidRPr="00D97556">
        <w:rPr>
          <w:rFonts w:ascii="Arial" w:hAnsi="Arial" w:eastAsia="Times New Roman" w:cs="Arial"/>
          <w:color w:val="212529"/>
          <w:sz w:val="24"/>
          <w:szCs w:val="24"/>
          <w:shd w:val="clear" w:color="auto" w:fill="FFFFFF"/>
          <w:lang w:eastAsia="tr-TR"/>
        </w:rPr>
        <w:t> </w:t>
      </w:r>
      <w:r w:rsidRPr="00D97556">
        <w:rPr>
          <w:rFonts w:ascii="Arial" w:hAnsi="Arial" w:eastAsia="Times New Roman" w:cs="Arial"/>
          <w:color w:val="212529"/>
          <w:sz w:val="24"/>
          <w:szCs w:val="24"/>
          <w:lang w:eastAsia="tr-TR"/>
        </w:rPr>
        <w:br/>
      </w:r>
      <w:r w:rsidRPr="00D97556">
        <w:rPr>
          <w:rFonts w:ascii="Arial" w:hAnsi="Arial" w:eastAsia="Times New Roman" w:cs="Arial"/>
          <w:color w:val="212529"/>
          <w:sz w:val="24"/>
          <w:szCs w:val="24"/>
          <w:shd w:val="clear" w:color="auto" w:fill="FFFFFF"/>
          <w:lang w:eastAsia="tr-TR"/>
        </w:rPr>
        <w:t> </w:t>
      </w:r>
    </w:p>
    <w:tbl>
      <w:tblPr>
        <w:tblW w:w="5000" w:type="pct"/>
        <w:tblCellMar>
          <w:left w:w="0" w:type="dxa"/>
          <w:right w:w="0" w:type="dxa"/>
        </w:tblCellMar>
        <w:tblLook w:val="04A0" w:firstRow="1" w:lastRow="0" w:firstColumn="1" w:lastColumn="0" w:noHBand="0" w:noVBand="1"/>
      </w:tblPr>
      <w:tblGrid>
        <w:gridCol w:w="845"/>
        <w:gridCol w:w="4506"/>
        <w:gridCol w:w="1229"/>
        <w:gridCol w:w="1449"/>
        <w:gridCol w:w="1495"/>
      </w:tblGrid>
      <w:tr w:rsidRPr="00D97556" w:rsidR="00D97556" w:rsidTr="00D97556">
        <w:tc>
          <w:tcPr>
            <w:tcW w:w="1020" w:type="dxa"/>
            <w:tcBorders>
              <w:top w:val="outset" w:color="000000" w:sz="6" w:space="0"/>
              <w:left w:val="outset" w:color="000000" w:sz="6" w:space="0"/>
              <w:bottom w:val="outset" w:color="000000" w:sz="6" w:space="0"/>
              <w:right w:val="outset" w:color="000000" w:sz="6" w:space="0"/>
            </w:tcBorders>
            <w:shd w:val="clear" w:color="auto" w:fill="D0CECE"/>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GTİP</w:t>
            </w:r>
          </w:p>
        </w:tc>
        <w:tc>
          <w:tcPr>
            <w:tcW w:w="6435" w:type="dxa"/>
            <w:tcBorders>
              <w:top w:val="outset" w:color="000000" w:sz="6" w:space="0"/>
              <w:left w:val="outset" w:color="000000" w:sz="6" w:space="0"/>
              <w:bottom w:val="outset" w:color="000000" w:sz="6" w:space="0"/>
              <w:right w:val="outset" w:color="000000" w:sz="6" w:space="0"/>
            </w:tcBorders>
            <w:shd w:val="clear" w:color="auto" w:fill="D0CECE"/>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Ürünler (ilk 5 ürün)</w:t>
            </w:r>
          </w:p>
        </w:tc>
        <w:tc>
          <w:tcPr>
            <w:tcW w:w="1470" w:type="dxa"/>
            <w:tcBorders>
              <w:top w:val="outset" w:color="000000" w:sz="6" w:space="0"/>
              <w:left w:val="outset" w:color="000000" w:sz="6" w:space="0"/>
              <w:bottom w:val="outset" w:color="000000" w:sz="6" w:space="0"/>
              <w:right w:val="outset" w:color="000000" w:sz="6" w:space="0"/>
            </w:tcBorders>
            <w:shd w:val="clear" w:color="auto" w:fill="D0CECE"/>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2016</w:t>
            </w:r>
          </w:p>
        </w:tc>
        <w:tc>
          <w:tcPr>
            <w:tcW w:w="1830" w:type="dxa"/>
            <w:tcBorders>
              <w:top w:val="outset" w:color="000000" w:sz="6" w:space="0"/>
              <w:left w:val="outset" w:color="000000" w:sz="6" w:space="0"/>
              <w:bottom w:val="outset" w:color="000000" w:sz="6" w:space="0"/>
              <w:right w:val="outset" w:color="000000" w:sz="6" w:space="0"/>
            </w:tcBorders>
            <w:shd w:val="clear" w:color="auto" w:fill="D0CECE"/>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2017</w:t>
            </w:r>
          </w:p>
        </w:tc>
        <w:tc>
          <w:tcPr>
            <w:tcW w:w="1905" w:type="dxa"/>
            <w:tcBorders>
              <w:top w:val="outset" w:color="000000" w:sz="6" w:space="0"/>
              <w:left w:val="outset" w:color="000000" w:sz="6" w:space="0"/>
              <w:bottom w:val="outset" w:color="000000" w:sz="6" w:space="0"/>
              <w:right w:val="outset" w:color="000000" w:sz="6" w:space="0"/>
            </w:tcBorders>
            <w:shd w:val="clear" w:color="auto" w:fill="D0CECE"/>
            <w:tcMar>
              <w:top w:w="60" w:type="dxa"/>
              <w:left w:w="60" w:type="dxa"/>
              <w:bottom w:w="60" w:type="dxa"/>
              <w:right w:w="60" w:type="dxa"/>
            </w:tcMa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2018</w:t>
            </w:r>
          </w:p>
        </w:tc>
      </w:tr>
      <w:tr w:rsidRPr="00D97556" w:rsidR="00D97556" w:rsidTr="00D97556">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1207</w:t>
            </w:r>
          </w:p>
        </w:tc>
        <w:tc>
          <w:tcPr>
            <w:tcW w:w="6435"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Diğer yağlı tohumlar ve meyveler</w:t>
            </w:r>
          </w:p>
        </w:tc>
        <w:tc>
          <w:tcPr>
            <w:tcW w:w="1470"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126.847</w:t>
            </w:r>
          </w:p>
        </w:tc>
        <w:tc>
          <w:tcPr>
            <w:tcW w:w="1830"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112.657</w:t>
            </w:r>
          </w:p>
        </w:tc>
        <w:tc>
          <w:tcPr>
            <w:tcW w:w="1905" w:type="dxa"/>
            <w:tcBorders>
              <w:top w:val="outset" w:color="000000" w:sz="6" w:space="0"/>
              <w:left w:val="outset" w:color="000000" w:sz="6" w:space="0"/>
              <w:bottom w:val="outset" w:color="000000" w:sz="6" w:space="0"/>
              <w:right w:val="outset" w:color="000000" w:sz="6" w:space="0"/>
            </w:tcBorders>
            <w:shd w:val="clear" w:color="auto" w:fill="FFFFFF"/>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101.464</w:t>
            </w:r>
          </w:p>
        </w:tc>
      </w:tr>
      <w:tr w:rsidRPr="00D97556" w:rsidR="00D97556" w:rsidTr="00D97556">
        <w:tc>
          <w:tcPr>
            <w:tcW w:w="102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2711</w:t>
            </w:r>
          </w:p>
        </w:tc>
        <w:tc>
          <w:tcPr>
            <w:tcW w:w="6435"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Petrol gazları ve diğer gazlı hidrokarbonlar</w:t>
            </w:r>
          </w:p>
        </w:tc>
        <w:tc>
          <w:tcPr>
            <w:tcW w:w="147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17.020</w:t>
            </w:r>
          </w:p>
        </w:tc>
        <w:tc>
          <w:tcPr>
            <w:tcW w:w="183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17.719</w:t>
            </w:r>
          </w:p>
        </w:tc>
        <w:tc>
          <w:tcPr>
            <w:tcW w:w="1905"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21.154</w:t>
            </w:r>
          </w:p>
        </w:tc>
      </w:tr>
      <w:tr w:rsidRPr="00D97556" w:rsidR="00D97556" w:rsidTr="00D97556">
        <w:tc>
          <w:tcPr>
            <w:tcW w:w="1020"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4402</w:t>
            </w:r>
          </w:p>
        </w:tc>
        <w:tc>
          <w:tcPr>
            <w:tcW w:w="6435"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Odun kömürü</w:t>
            </w:r>
          </w:p>
        </w:tc>
        <w:tc>
          <w:tcPr>
            <w:tcW w:w="1470"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3.761</w:t>
            </w:r>
          </w:p>
        </w:tc>
        <w:tc>
          <w:tcPr>
            <w:tcW w:w="1830"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4.834</w:t>
            </w:r>
          </w:p>
        </w:tc>
        <w:tc>
          <w:tcPr>
            <w:tcW w:w="1905"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5.565</w:t>
            </w:r>
          </w:p>
        </w:tc>
      </w:tr>
      <w:tr w:rsidRPr="00D97556" w:rsidR="00D97556" w:rsidTr="00D97556">
        <w:tc>
          <w:tcPr>
            <w:tcW w:w="102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4105</w:t>
            </w:r>
          </w:p>
        </w:tc>
        <w:tc>
          <w:tcPr>
            <w:tcW w:w="6435"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Koyun ve kuzuların dabaklanmış veya crust (ara kurutmalı) derileri</w:t>
            </w:r>
          </w:p>
        </w:tc>
        <w:tc>
          <w:tcPr>
            <w:tcW w:w="147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4.133</w:t>
            </w:r>
          </w:p>
        </w:tc>
        <w:tc>
          <w:tcPr>
            <w:tcW w:w="183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5.470</w:t>
            </w:r>
          </w:p>
        </w:tc>
        <w:tc>
          <w:tcPr>
            <w:tcW w:w="1905"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4.289</w:t>
            </w:r>
          </w:p>
        </w:tc>
      </w:tr>
      <w:tr w:rsidRPr="00D97556" w:rsidR="00D97556" w:rsidTr="00D97556">
        <w:tc>
          <w:tcPr>
            <w:tcW w:w="1020"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7005</w:t>
            </w:r>
          </w:p>
        </w:tc>
        <w:tc>
          <w:tcPr>
            <w:tcW w:w="6435"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Float cam ve yüzeyi taşlanmış veya parlatılmış cam (plakalar halinde)</w:t>
            </w:r>
          </w:p>
        </w:tc>
        <w:tc>
          <w:tcPr>
            <w:tcW w:w="1470"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0</w:t>
            </w:r>
          </w:p>
        </w:tc>
        <w:tc>
          <w:tcPr>
            <w:tcW w:w="1830"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0</w:t>
            </w:r>
          </w:p>
        </w:tc>
        <w:tc>
          <w:tcPr>
            <w:tcW w:w="1905" w:type="dxa"/>
            <w:tcBorders>
              <w:top w:val="outset" w:color="000000" w:sz="6" w:space="0"/>
              <w:left w:val="outset" w:color="000000" w:sz="6" w:space="0"/>
              <w:bottom w:val="outset" w:color="000000" w:sz="6" w:space="0"/>
              <w:right w:val="outset" w:color="000000" w:sz="6" w:space="0"/>
            </w:tcBorders>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color w:val="212529"/>
                <w:lang w:eastAsia="tr-TR"/>
              </w:rPr>
              <w:t>2.461</w:t>
            </w:r>
          </w:p>
        </w:tc>
      </w:tr>
      <w:tr w:rsidRPr="00D97556" w:rsidR="00D97556" w:rsidTr="00D97556">
        <w:tc>
          <w:tcPr>
            <w:tcW w:w="102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Arial"/>
                <w:color w:val="212529"/>
                <w:lang w:eastAsia="tr-TR"/>
              </w:rPr>
              <w:t> </w:t>
            </w:r>
          </w:p>
        </w:tc>
        <w:tc>
          <w:tcPr>
            <w:tcW w:w="6435"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center"/>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GENEL TOPLAM</w:t>
            </w:r>
          </w:p>
        </w:tc>
        <w:tc>
          <w:tcPr>
            <w:tcW w:w="147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157.814</w:t>
            </w:r>
          </w:p>
        </w:tc>
        <w:tc>
          <w:tcPr>
            <w:tcW w:w="1830"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156.286</w:t>
            </w:r>
          </w:p>
        </w:tc>
        <w:tc>
          <w:tcPr>
            <w:tcW w:w="1905" w:type="dxa"/>
            <w:tcBorders>
              <w:top w:val="outset" w:color="000000" w:sz="6" w:space="0"/>
              <w:left w:val="outset" w:color="000000" w:sz="6" w:space="0"/>
              <w:bottom w:val="outset" w:color="000000" w:sz="6" w:space="0"/>
              <w:right w:val="outset" w:color="000000" w:sz="6" w:space="0"/>
            </w:tcBorders>
            <w:shd w:val="clear" w:color="auto" w:fill="F2F2F2"/>
            <w:tcMar>
              <w:top w:w="60" w:type="dxa"/>
              <w:left w:w="60" w:type="dxa"/>
              <w:bottom w:w="60" w:type="dxa"/>
              <w:right w:w="60" w:type="dxa"/>
            </w:tcMar>
            <w:vAlign w:val="bottom"/>
            <w:hideMark/>
          </w:tcPr>
          <w:p w:rsidRPr="00D97556" w:rsidR="00D97556" w:rsidP="00D97556" w:rsidRDefault="00D97556">
            <w:pPr>
              <w:spacing w:after="0" w:line="240" w:lineRule="auto"/>
              <w:jc w:val="both"/>
              <w:rPr>
                <w:rFonts w:eastAsia="Times New Roman" w:cs="Arial"/>
                <w:color w:val="212529"/>
                <w:lang w:eastAsia="tr-TR"/>
              </w:rPr>
            </w:pPr>
            <w:r w:rsidRPr="00D97556">
              <w:rPr>
                <w:rFonts w:eastAsia="Times New Roman" w:cs="Times New Roman"/>
                <w:b/>
                <w:bCs/>
                <w:color w:val="212529"/>
                <w:lang w:eastAsia="tr-TR"/>
              </w:rPr>
              <w:t>143.432</w:t>
            </w:r>
          </w:p>
        </w:tc>
      </w:tr>
    </w:tbl>
    <w:p w:rsidR="00A03F61" w:rsidP="00DC2383" w:rsidRDefault="00D97556">
      <w:pPr>
        <w:spacing w:after="100" w:afterAutospacing="1" w:line="240" w:lineRule="auto"/>
        <w:jc w:val="both"/>
        <w:rPr>
          <w:rFonts w:eastAsia="Times New Roman" w:cstheme="minorHAnsi"/>
          <w:color w:val="212529"/>
          <w:lang w:eastAsia="tr-TR"/>
        </w:rPr>
      </w:pPr>
      <w:r w:rsidRPr="00D97556">
        <w:rPr>
          <w:rFonts w:ascii="Times New Roman" w:hAnsi="Times New Roman" w:eastAsia="Times New Roman" w:cs="Times New Roman"/>
          <w:color w:val="212529"/>
          <w:sz w:val="20"/>
          <w:szCs w:val="20"/>
          <w:lang w:eastAsia="tr-TR"/>
        </w:rPr>
        <w:t>Kaynak: TUİK</w:t>
      </w:r>
      <w:r w:rsidRPr="00D97556">
        <w:rPr>
          <w:rFonts w:ascii="Arial" w:hAnsi="Arial" w:eastAsia="Times New Roman" w:cs="Arial"/>
          <w:color w:val="212529"/>
          <w:sz w:val="24"/>
          <w:szCs w:val="24"/>
          <w:lang w:eastAsia="tr-TR"/>
        </w:rPr>
        <w:br/>
        <w:t> </w:t>
      </w:r>
      <w:r w:rsidRPr="00D97556">
        <w:rPr>
          <w:rFonts w:ascii="Arial" w:hAnsi="Arial" w:eastAsia="Times New Roman" w:cs="Arial"/>
          <w:color w:val="212529"/>
          <w:sz w:val="24"/>
          <w:szCs w:val="24"/>
          <w:lang w:eastAsia="tr-TR"/>
        </w:rPr>
        <w:br/>
      </w:r>
      <w:r w:rsidRPr="008B59F2">
        <w:rPr>
          <w:rFonts w:eastAsia="Times New Roman" w:cstheme="minorHAnsi"/>
          <w:color w:val="212529"/>
          <w:lang w:eastAsia="tr-TR"/>
        </w:rPr>
        <w:t>Nijerya’dan ithalatımızda yağlı tohumlar ve meyveler grubu ve petrol gazları ve hidrokarbonlar önde gelmektedir.</w:t>
      </w:r>
    </w:p>
    <w:p w:rsidRPr="00A03F61" w:rsidR="00DC2383" w:rsidP="00DC2383" w:rsidRDefault="00DC2383">
      <w:pPr>
        <w:spacing w:after="100" w:afterAutospacing="1" w:line="240" w:lineRule="auto"/>
        <w:jc w:val="both"/>
        <w:rPr>
          <w:rFonts w:ascii="Times New Roman" w:hAnsi="Times New Roman" w:eastAsia="Times New Roman" w:cs="Times New Roman"/>
          <w:b/>
          <w:color w:val="212529"/>
          <w:lang w:eastAsia="tr-TR"/>
        </w:rPr>
      </w:pPr>
      <w:r w:rsidRPr="00DC2383">
        <w:rPr>
          <w:rFonts w:eastAsia="Times New Roman" w:cs="Times New Roman"/>
          <w:b/>
          <w:bCs/>
          <w:color w:val="0F243E"/>
          <w:sz w:val="24"/>
          <w:lang w:eastAsia="tr-TR"/>
        </w:rPr>
        <w:t>NİJERYA’NIN</w:t>
      </w:r>
      <w:r w:rsidRPr="00022AE5">
        <w:rPr>
          <w:rFonts w:eastAsia="Times New Roman" w:cs="Times New Roman"/>
          <w:b/>
          <w:bCs/>
          <w:color w:val="0F243E"/>
          <w:sz w:val="24"/>
          <w:lang w:eastAsia="tr-TR"/>
        </w:rPr>
        <w:t xml:space="preserve"> OTOMOTİV SEKTÖRÜ AÇISINDAN DEĞERLENDİRİLMESİ</w:t>
      </w:r>
    </w:p>
    <w:p w:rsidR="003C7E6A" w:rsidP="00D97556" w:rsidRDefault="008B59F2">
      <w:pPr>
        <w:spacing w:after="100" w:afterAutospacing="1" w:line="240" w:lineRule="auto"/>
        <w:jc w:val="both"/>
        <w:rPr>
          <w:rFonts w:eastAsia="Times New Roman" w:cstheme="minorHAnsi"/>
          <w:color w:val="212529"/>
          <w:lang w:eastAsia="tr-TR"/>
        </w:rPr>
      </w:pPr>
      <w:r w:rsidRPr="008B59F2">
        <w:rPr>
          <w:rFonts w:eastAsia="Times New Roman" w:cstheme="minorHAnsi"/>
          <w:color w:val="212529"/>
          <w:lang w:eastAsia="tr-TR"/>
        </w:rPr>
        <w:t xml:space="preserve">Nijerya’nın otomotiv endüstrisine ilişkin üretimi bulunmamaktadır. Bununla birlikte iç pazarda 17.000 adet satış bilgisine ulaşılmaktadır. </w:t>
      </w:r>
      <w:r w:rsidR="003C7E6A">
        <w:rPr>
          <w:rFonts w:eastAsia="Times New Roman" w:cstheme="minorHAnsi"/>
          <w:color w:val="212529"/>
          <w:lang w:eastAsia="tr-TR"/>
        </w:rPr>
        <w:t>Bu hali ile Afrika ülkeleri içinde 8.sırada yer almaktadır.</w:t>
      </w:r>
      <w:r>
        <w:rPr>
          <w:rFonts w:eastAsia="Times New Roman" w:cstheme="minorHAnsi"/>
          <w:color w:val="212529"/>
          <w:lang w:eastAsia="tr-TR"/>
        </w:rPr>
        <w:t xml:space="preserve"> </w:t>
      </w:r>
    </w:p>
    <w:tbl>
      <w:tblPr>
        <w:tblW w:w="796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60"/>
        <w:gridCol w:w="2200"/>
        <w:gridCol w:w="960"/>
        <w:gridCol w:w="960"/>
        <w:gridCol w:w="960"/>
        <w:gridCol w:w="960"/>
        <w:gridCol w:w="960"/>
      </w:tblGrid>
      <w:tr w:rsidRPr="003C7E6A" w:rsidR="003C7E6A" w:rsidTr="003C7E6A">
        <w:trPr>
          <w:trHeight w:val="315"/>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 </w:t>
            </w:r>
          </w:p>
        </w:tc>
        <w:tc>
          <w:tcPr>
            <w:tcW w:w="2200" w:type="dxa"/>
            <w:shd w:val="clear" w:color="FFFFFF" w:fill="FFFFFF"/>
            <w:noWrap/>
            <w:vAlign w:val="bottom"/>
            <w:hideMark/>
          </w:tcPr>
          <w:p w:rsidRPr="003C7E6A" w:rsidR="003C7E6A" w:rsidP="003C7E6A" w:rsidRDefault="003C7E6A">
            <w:pPr>
              <w:spacing w:after="0" w:line="240" w:lineRule="auto"/>
              <w:jc w:val="center"/>
              <w:rPr>
                <w:rFonts w:ascii="Arial" w:hAnsi="Arial" w:eastAsia="Times New Roman" w:cs="Arial"/>
                <w:color w:val="000000"/>
                <w:sz w:val="20"/>
                <w:szCs w:val="20"/>
                <w:lang w:eastAsia="tr-TR"/>
              </w:rPr>
            </w:pPr>
            <w:r>
              <w:rPr>
                <w:rFonts w:ascii="Arial" w:hAnsi="Arial" w:eastAsia="Times New Roman" w:cs="Arial"/>
                <w:color w:val="000000"/>
                <w:sz w:val="20"/>
                <w:szCs w:val="20"/>
                <w:lang w:eastAsia="tr-TR"/>
              </w:rPr>
              <w:t>ÜLKELER</w:t>
            </w:r>
          </w:p>
        </w:tc>
        <w:tc>
          <w:tcPr>
            <w:tcW w:w="960" w:type="dxa"/>
            <w:shd w:val="clear" w:color="FFFFFF" w:fill="FFFFFF"/>
            <w:noWrap/>
            <w:vAlign w:val="bottom"/>
            <w:hideMark/>
          </w:tcPr>
          <w:p w:rsidRPr="003C7E6A" w:rsidR="003C7E6A" w:rsidP="003C7E6A" w:rsidRDefault="003C7E6A">
            <w:pPr>
              <w:spacing w:after="0" w:line="240" w:lineRule="auto"/>
              <w:jc w:val="center"/>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2005</w:t>
            </w:r>
          </w:p>
        </w:tc>
        <w:tc>
          <w:tcPr>
            <w:tcW w:w="960" w:type="dxa"/>
            <w:shd w:val="clear" w:color="FFFFFF" w:fill="FFFFFF"/>
            <w:noWrap/>
            <w:vAlign w:val="bottom"/>
            <w:hideMark/>
          </w:tcPr>
          <w:p w:rsidRPr="003C7E6A" w:rsidR="003C7E6A" w:rsidP="003C7E6A" w:rsidRDefault="003C7E6A">
            <w:pPr>
              <w:spacing w:after="0" w:line="240" w:lineRule="auto"/>
              <w:jc w:val="center"/>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2015</w:t>
            </w:r>
          </w:p>
        </w:tc>
        <w:tc>
          <w:tcPr>
            <w:tcW w:w="960" w:type="dxa"/>
            <w:shd w:val="clear" w:color="FFFFFF" w:fill="FFFFFF"/>
            <w:noWrap/>
            <w:vAlign w:val="bottom"/>
            <w:hideMark/>
          </w:tcPr>
          <w:p w:rsidRPr="003C7E6A" w:rsidR="003C7E6A" w:rsidP="003C7E6A" w:rsidRDefault="003C7E6A">
            <w:pPr>
              <w:spacing w:after="0" w:line="240" w:lineRule="auto"/>
              <w:jc w:val="center"/>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2016</w:t>
            </w:r>
          </w:p>
        </w:tc>
        <w:tc>
          <w:tcPr>
            <w:tcW w:w="960" w:type="dxa"/>
            <w:shd w:val="clear" w:color="FFFFFF" w:fill="FFFFFF"/>
            <w:noWrap/>
            <w:vAlign w:val="bottom"/>
            <w:hideMark/>
          </w:tcPr>
          <w:p w:rsidRPr="003C7E6A" w:rsidR="003C7E6A" w:rsidP="003C7E6A" w:rsidRDefault="003C7E6A">
            <w:pPr>
              <w:spacing w:after="0" w:line="240" w:lineRule="auto"/>
              <w:jc w:val="center"/>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2017</w:t>
            </w:r>
          </w:p>
        </w:tc>
        <w:tc>
          <w:tcPr>
            <w:tcW w:w="960" w:type="dxa"/>
            <w:shd w:val="clear" w:color="FFFFFF" w:fill="FFFFFF"/>
            <w:noWrap/>
            <w:vAlign w:val="bottom"/>
            <w:hideMark/>
          </w:tcPr>
          <w:p w:rsidRPr="003C7E6A" w:rsidR="003C7E6A" w:rsidP="003C7E6A" w:rsidRDefault="003C7E6A">
            <w:pPr>
              <w:spacing w:after="0" w:line="240" w:lineRule="auto"/>
              <w:jc w:val="center"/>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2018</w:t>
            </w:r>
          </w:p>
        </w:tc>
      </w:tr>
      <w:tr w:rsidRPr="003C7E6A" w:rsidR="003C7E6A" w:rsidTr="003C7E6A">
        <w:trPr>
          <w:trHeight w:val="300"/>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1</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Pr>
                <w:rFonts w:ascii="Arial" w:hAnsi="Arial" w:eastAsia="Times New Roman" w:cs="Arial"/>
                <w:color w:val="000000"/>
                <w:sz w:val="20"/>
                <w:szCs w:val="20"/>
                <w:lang w:eastAsia="tr-TR"/>
              </w:rPr>
              <w:t>GÜNEY AFRİKA</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617.406</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617.749</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547.406</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547.406</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552.226</w:t>
            </w:r>
          </w:p>
        </w:tc>
      </w:tr>
      <w:tr w:rsidRPr="003C7E6A" w:rsidR="003C7E6A" w:rsidTr="003C7E6A">
        <w:trPr>
          <w:trHeight w:val="300"/>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2</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Pr>
                <w:rFonts w:ascii="Arial" w:hAnsi="Arial" w:eastAsia="Times New Roman" w:cs="Arial"/>
                <w:color w:val="000000"/>
                <w:sz w:val="20"/>
                <w:szCs w:val="20"/>
                <w:lang w:eastAsia="tr-TR"/>
              </w:rPr>
              <w:t>MISIR</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121.437</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332.100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264.100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128.941</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184.456</w:t>
            </w:r>
          </w:p>
        </w:tc>
      </w:tr>
      <w:tr w:rsidRPr="003C7E6A" w:rsidR="003C7E6A" w:rsidTr="003C7E6A">
        <w:trPr>
          <w:trHeight w:val="300"/>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3</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Pr>
                <w:rFonts w:ascii="Arial" w:hAnsi="Arial" w:eastAsia="Times New Roman" w:cs="Arial"/>
                <w:color w:val="000000"/>
                <w:sz w:val="20"/>
                <w:szCs w:val="20"/>
                <w:lang w:eastAsia="tr-TR"/>
              </w:rPr>
              <w:t>FAS</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63.655</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131.910</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163.110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168.593</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177.359</w:t>
            </w:r>
          </w:p>
        </w:tc>
      </w:tr>
      <w:tr w:rsidRPr="003C7E6A" w:rsidR="003C7E6A" w:rsidTr="003C7E6A">
        <w:trPr>
          <w:trHeight w:val="300"/>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4</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Pr>
                <w:rFonts w:ascii="Arial" w:hAnsi="Arial" w:eastAsia="Times New Roman" w:cs="Arial"/>
                <w:color w:val="000000"/>
                <w:sz w:val="20"/>
                <w:szCs w:val="20"/>
                <w:lang w:eastAsia="tr-TR"/>
              </w:rPr>
              <w:t>CEZAYİR</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99.422</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215.400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96.600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101.183</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127.300</w:t>
            </w:r>
          </w:p>
        </w:tc>
      </w:tr>
      <w:tr w:rsidRPr="003C7E6A" w:rsidR="003C7E6A" w:rsidTr="003C7E6A">
        <w:trPr>
          <w:trHeight w:val="300"/>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5</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Pr>
                <w:rFonts w:ascii="Arial" w:hAnsi="Arial" w:eastAsia="Times New Roman" w:cs="Arial"/>
                <w:color w:val="000000"/>
                <w:sz w:val="20"/>
                <w:szCs w:val="20"/>
                <w:lang w:eastAsia="tr-TR"/>
              </w:rPr>
              <w:t>TUNUS</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33.000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48.500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50.800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63.653</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51.427</w:t>
            </w:r>
          </w:p>
        </w:tc>
      </w:tr>
      <w:tr w:rsidRPr="003C7E6A" w:rsidR="003C7E6A" w:rsidTr="003C7E6A">
        <w:trPr>
          <w:trHeight w:val="300"/>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lastRenderedPageBreak/>
              <w:t>7</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LIBYA</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47.000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54.100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46.400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15.000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18.000</w:t>
            </w:r>
          </w:p>
        </w:tc>
      </w:tr>
      <w:tr w:rsidRPr="003C7E6A" w:rsidR="003C7E6A" w:rsidTr="003C7E6A">
        <w:trPr>
          <w:trHeight w:val="300"/>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8</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Pr>
                <w:rFonts w:ascii="Arial" w:hAnsi="Arial" w:eastAsia="Times New Roman" w:cs="Arial"/>
                <w:color w:val="000000"/>
                <w:sz w:val="20"/>
                <w:szCs w:val="20"/>
                <w:lang w:eastAsia="tr-TR"/>
              </w:rPr>
              <w:t>NİJERYA</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23.000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20.000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23.000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8.200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17.000</w:t>
            </w:r>
          </w:p>
        </w:tc>
      </w:tr>
      <w:tr w:rsidRPr="003C7E6A" w:rsidR="003C7E6A" w:rsidTr="003C7E6A">
        <w:trPr>
          <w:trHeight w:val="300"/>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13</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Pr>
                <w:rFonts w:ascii="Arial" w:hAnsi="Arial" w:eastAsia="Times New Roman" w:cs="Arial"/>
                <w:color w:val="000000"/>
                <w:sz w:val="20"/>
                <w:szCs w:val="20"/>
                <w:lang w:eastAsia="tr-TR"/>
              </w:rPr>
              <w:t>GANA</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4.500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4.800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7.400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6.669</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7.073</w:t>
            </w:r>
          </w:p>
        </w:tc>
      </w:tr>
      <w:tr w:rsidRPr="003C7E6A" w:rsidR="003C7E6A" w:rsidTr="003C7E6A">
        <w:trPr>
          <w:trHeight w:val="300"/>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19</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Pr>
                <w:rFonts w:ascii="Arial" w:hAnsi="Arial" w:eastAsia="Times New Roman" w:cs="Arial"/>
                <w:color w:val="000000"/>
                <w:sz w:val="20"/>
                <w:szCs w:val="20"/>
                <w:lang w:eastAsia="tr-TR"/>
              </w:rPr>
              <w:t>TANZANYA</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3.000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5.200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4.500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2.267</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2.380</w:t>
            </w:r>
          </w:p>
        </w:tc>
      </w:tr>
      <w:tr w:rsidRPr="003C7E6A" w:rsidR="003C7E6A" w:rsidTr="003C7E6A">
        <w:trPr>
          <w:trHeight w:val="315"/>
        </w:trPr>
        <w:tc>
          <w:tcPr>
            <w:tcW w:w="960" w:type="dxa"/>
            <w:shd w:val="clear" w:color="000000" w:fill="FFFFFF"/>
            <w:noWrap/>
            <w:vAlign w:val="bottom"/>
            <w:hideMark/>
          </w:tcPr>
          <w:p w:rsidRPr="003C7E6A" w:rsidR="003C7E6A" w:rsidP="003C7E6A" w:rsidRDefault="003C7E6A">
            <w:pPr>
              <w:spacing w:after="0" w:line="240" w:lineRule="auto"/>
              <w:rPr>
                <w:rFonts w:ascii="Calibri" w:hAnsi="Calibri" w:eastAsia="Times New Roman" w:cs="Calibri"/>
                <w:color w:val="000000"/>
                <w:lang w:eastAsia="tr-TR"/>
              </w:rPr>
            </w:pPr>
            <w:r w:rsidRPr="003C7E6A">
              <w:rPr>
                <w:rFonts w:ascii="Calibri" w:hAnsi="Calibri" w:eastAsia="Times New Roman" w:cs="Calibri"/>
                <w:color w:val="000000"/>
                <w:lang w:eastAsia="tr-TR"/>
              </w:rPr>
              <w:t>22</w:t>
            </w:r>
          </w:p>
        </w:tc>
        <w:tc>
          <w:tcPr>
            <w:tcW w:w="2200" w:type="dxa"/>
            <w:shd w:val="clear" w:color="FFFFFF"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SUDAN</w:t>
            </w:r>
          </w:p>
        </w:tc>
        <w:tc>
          <w:tcPr>
            <w:tcW w:w="960" w:type="dxa"/>
            <w:shd w:val="clear" w:color="FFFFFF"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3.000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3.600</w:t>
            </w:r>
          </w:p>
        </w:tc>
        <w:tc>
          <w:tcPr>
            <w:tcW w:w="960" w:type="dxa"/>
            <w:shd w:val="clear" w:color="000000" w:fill="FFFFFF"/>
            <w:noWrap/>
            <w:vAlign w:val="bottom"/>
            <w:hideMark/>
          </w:tcPr>
          <w:p w:rsidRPr="003C7E6A" w:rsidR="003C7E6A" w:rsidP="003C7E6A" w:rsidRDefault="003C7E6A">
            <w:pPr>
              <w:spacing w:after="0" w:line="240" w:lineRule="auto"/>
              <w:jc w:val="right"/>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3.400</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2.614</w:t>
            </w:r>
          </w:p>
        </w:tc>
        <w:tc>
          <w:tcPr>
            <w:tcW w:w="960" w:type="dxa"/>
            <w:shd w:val="clear" w:color="000000" w:fill="FFFFFF"/>
            <w:noWrap/>
            <w:vAlign w:val="bottom"/>
            <w:hideMark/>
          </w:tcPr>
          <w:p w:rsidRPr="003C7E6A" w:rsidR="003C7E6A" w:rsidP="003C7E6A" w:rsidRDefault="003C7E6A">
            <w:pPr>
              <w:spacing w:after="0" w:line="240" w:lineRule="auto"/>
              <w:rPr>
                <w:rFonts w:ascii="Arial" w:hAnsi="Arial" w:eastAsia="Times New Roman" w:cs="Arial"/>
                <w:color w:val="000000"/>
                <w:sz w:val="20"/>
                <w:szCs w:val="20"/>
                <w:lang w:eastAsia="tr-TR"/>
              </w:rPr>
            </w:pPr>
            <w:r w:rsidRPr="003C7E6A">
              <w:rPr>
                <w:rFonts w:ascii="Arial" w:hAnsi="Arial" w:eastAsia="Times New Roman" w:cs="Arial"/>
                <w:color w:val="000000"/>
                <w:sz w:val="20"/>
                <w:szCs w:val="20"/>
                <w:lang w:eastAsia="tr-TR"/>
              </w:rPr>
              <w:t>1.968</w:t>
            </w:r>
          </w:p>
        </w:tc>
      </w:tr>
    </w:tbl>
    <w:p w:rsidR="003C7E6A" w:rsidP="00D97556" w:rsidRDefault="003C7E6A">
      <w:pPr>
        <w:spacing w:after="100" w:afterAutospacing="1" w:line="240" w:lineRule="auto"/>
        <w:jc w:val="both"/>
        <w:rPr>
          <w:rFonts w:eastAsia="Times New Roman" w:cstheme="minorHAnsi"/>
          <w:color w:val="212529"/>
          <w:lang w:eastAsia="tr-TR"/>
        </w:rPr>
      </w:pPr>
    </w:p>
    <w:p w:rsidRPr="001C320E" w:rsidR="001C320E" w:rsidP="00D97556" w:rsidRDefault="001C320E">
      <w:pPr>
        <w:spacing w:after="100" w:afterAutospacing="1" w:line="240" w:lineRule="auto"/>
        <w:jc w:val="both"/>
        <w:rPr>
          <w:rFonts w:eastAsia="Times New Roman" w:cstheme="minorHAnsi"/>
          <w:b/>
          <w:color w:val="212529"/>
          <w:lang w:eastAsia="tr-TR"/>
        </w:rPr>
      </w:pPr>
      <w:r w:rsidRPr="001C320E">
        <w:rPr>
          <w:rFonts w:eastAsia="Times New Roman" w:cstheme="minorHAnsi"/>
          <w:b/>
          <w:color w:val="212529"/>
          <w:lang w:eastAsia="tr-TR"/>
        </w:rPr>
        <w:t>ÜLKE BAZLI İHRACAT RAKAMLARI</w:t>
      </w:r>
    </w:p>
    <w:tbl>
      <w:tblPr>
        <w:tblW w:w="9776" w:type="dxa"/>
        <w:tblInd w:w="75" w:type="dxa"/>
        <w:tblCellMar>
          <w:left w:w="70" w:type="dxa"/>
          <w:right w:w="70" w:type="dxa"/>
        </w:tblCellMar>
        <w:tblLook w:val="04A0" w:firstRow="1" w:lastRow="0" w:firstColumn="1" w:lastColumn="0" w:noHBand="0" w:noVBand="1"/>
      </w:tblPr>
      <w:tblGrid>
        <w:gridCol w:w="4995"/>
        <w:gridCol w:w="1690"/>
        <w:gridCol w:w="1515"/>
        <w:gridCol w:w="1576"/>
      </w:tblGrid>
      <w:tr w:rsidRPr="00302ED9" w:rsidR="00A03F61" w:rsidTr="008B59F2">
        <w:trPr>
          <w:trHeight w:val="525"/>
        </w:trPr>
        <w:tc>
          <w:tcPr>
            <w:tcW w:w="4995" w:type="dxa"/>
            <w:tcBorders>
              <w:top w:val="single" w:color="auto" w:sz="4" w:space="0"/>
              <w:left w:val="single" w:color="auto" w:sz="4" w:space="0"/>
              <w:bottom w:val="single" w:color="auto" w:sz="4" w:space="0"/>
              <w:right w:val="single" w:color="auto" w:sz="4" w:space="0"/>
            </w:tcBorders>
            <w:shd w:val="clear" w:color="FFFFFF" w:fill="FFFFFF"/>
            <w:vAlign w:val="bottom"/>
            <w:hideMark/>
          </w:tcPr>
          <w:p w:rsidRPr="00302ED9" w:rsidR="00A03F61" w:rsidP="00302ED9" w:rsidRDefault="00A03F61">
            <w:pPr>
              <w:spacing w:after="0" w:line="240" w:lineRule="auto"/>
              <w:rPr>
                <w:rFonts w:ascii="Arial" w:hAnsi="Arial" w:eastAsia="Times New Roman" w:cs="Arial"/>
                <w:b/>
                <w:bCs/>
                <w:sz w:val="18"/>
                <w:szCs w:val="18"/>
                <w:lang w:eastAsia="tr-TR"/>
              </w:rPr>
            </w:pPr>
            <w:r w:rsidRPr="00302ED9">
              <w:rPr>
                <w:rFonts w:ascii="Arial" w:hAnsi="Arial" w:eastAsia="Times New Roman" w:cs="Arial"/>
                <w:b/>
                <w:bCs/>
                <w:sz w:val="18"/>
                <w:szCs w:val="18"/>
                <w:lang w:eastAsia="tr-TR"/>
              </w:rPr>
              <w:t>Mal Grubu</w:t>
            </w:r>
          </w:p>
        </w:tc>
        <w:tc>
          <w:tcPr>
            <w:tcW w:w="1690" w:type="dxa"/>
            <w:tcBorders>
              <w:top w:val="single" w:color="auto" w:sz="4" w:space="0"/>
              <w:left w:val="nil"/>
              <w:bottom w:val="single" w:color="auto" w:sz="4" w:space="0"/>
              <w:right w:val="single" w:color="auto" w:sz="4" w:space="0"/>
            </w:tcBorders>
            <w:shd w:val="clear" w:color="FFFFFF" w:fill="FFFFFF"/>
            <w:vAlign w:val="bottom"/>
            <w:hideMark/>
          </w:tcPr>
          <w:p w:rsidRPr="00302ED9" w:rsidR="00A03F61" w:rsidP="00302ED9" w:rsidRDefault="00A03F61">
            <w:pPr>
              <w:spacing w:after="0" w:line="240" w:lineRule="auto"/>
              <w:rPr>
                <w:rFonts w:ascii="Arial" w:hAnsi="Arial" w:eastAsia="Times New Roman" w:cs="Arial"/>
                <w:b/>
                <w:bCs/>
                <w:sz w:val="18"/>
                <w:szCs w:val="18"/>
                <w:lang w:eastAsia="tr-TR"/>
              </w:rPr>
            </w:pPr>
            <w:r w:rsidRPr="00302ED9">
              <w:rPr>
                <w:rFonts w:ascii="Arial" w:hAnsi="Arial" w:eastAsia="Times New Roman" w:cs="Arial"/>
                <w:b/>
                <w:bCs/>
                <w:sz w:val="18"/>
                <w:szCs w:val="18"/>
                <w:lang w:eastAsia="tr-TR"/>
              </w:rPr>
              <w:t>2018  Ocak - Kasım FOBD</w:t>
            </w:r>
          </w:p>
        </w:tc>
        <w:tc>
          <w:tcPr>
            <w:tcW w:w="1515" w:type="dxa"/>
            <w:tcBorders>
              <w:top w:val="single" w:color="auto" w:sz="4" w:space="0"/>
              <w:left w:val="nil"/>
              <w:bottom w:val="single" w:color="auto" w:sz="4" w:space="0"/>
              <w:right w:val="single" w:color="auto" w:sz="4" w:space="0"/>
            </w:tcBorders>
            <w:shd w:val="clear" w:color="FFFFFF" w:fill="FFFFFF"/>
            <w:vAlign w:val="bottom"/>
            <w:hideMark/>
          </w:tcPr>
          <w:p w:rsidRPr="00302ED9" w:rsidR="00A03F61" w:rsidP="00302ED9" w:rsidRDefault="00A03F61">
            <w:pPr>
              <w:spacing w:after="0" w:line="240" w:lineRule="auto"/>
              <w:rPr>
                <w:rFonts w:ascii="Arial" w:hAnsi="Arial" w:eastAsia="Times New Roman" w:cs="Arial"/>
                <w:b/>
                <w:bCs/>
                <w:sz w:val="18"/>
                <w:szCs w:val="18"/>
                <w:lang w:eastAsia="tr-TR"/>
              </w:rPr>
            </w:pPr>
            <w:r w:rsidRPr="00302ED9">
              <w:rPr>
                <w:rFonts w:ascii="Arial" w:hAnsi="Arial" w:eastAsia="Times New Roman" w:cs="Arial"/>
                <w:b/>
                <w:bCs/>
                <w:sz w:val="18"/>
                <w:szCs w:val="18"/>
                <w:lang w:eastAsia="tr-TR"/>
              </w:rPr>
              <w:t>2019 Ocak - Kasım FOBD</w:t>
            </w:r>
          </w:p>
        </w:tc>
        <w:tc>
          <w:tcPr>
            <w:tcW w:w="1576" w:type="dxa"/>
            <w:tcBorders>
              <w:top w:val="single" w:color="auto" w:sz="4" w:space="0"/>
              <w:left w:val="nil"/>
              <w:bottom w:val="single" w:color="auto" w:sz="4" w:space="0"/>
              <w:right w:val="single" w:color="auto" w:sz="4" w:space="0"/>
            </w:tcBorders>
            <w:shd w:val="clear" w:color="FFFFFF" w:fill="FFFFFF"/>
            <w:vAlign w:val="bottom"/>
            <w:hideMark/>
          </w:tcPr>
          <w:p w:rsidRPr="00302ED9" w:rsidR="00A03F61" w:rsidP="00302ED9" w:rsidRDefault="00A03F61">
            <w:pPr>
              <w:spacing w:after="0" w:line="240" w:lineRule="auto"/>
              <w:rPr>
                <w:rFonts w:ascii="Arial" w:hAnsi="Arial" w:eastAsia="Times New Roman" w:cs="Arial"/>
                <w:b/>
                <w:bCs/>
                <w:sz w:val="18"/>
                <w:szCs w:val="18"/>
                <w:lang w:eastAsia="tr-TR"/>
              </w:rPr>
            </w:pPr>
            <w:r w:rsidRPr="00302ED9">
              <w:rPr>
                <w:rFonts w:ascii="Arial" w:hAnsi="Arial" w:eastAsia="Times New Roman" w:cs="Arial"/>
                <w:b/>
                <w:bCs/>
                <w:sz w:val="18"/>
                <w:szCs w:val="18"/>
                <w:lang w:eastAsia="tr-TR"/>
              </w:rPr>
              <w:t>FOBD Değişim%</w:t>
            </w:r>
          </w:p>
        </w:tc>
      </w:tr>
      <w:tr w:rsidRPr="00302ED9" w:rsidR="00A03F61" w:rsidTr="008B59F2">
        <w:trPr>
          <w:trHeight w:val="263"/>
        </w:trPr>
        <w:tc>
          <w:tcPr>
            <w:tcW w:w="4995" w:type="dxa"/>
            <w:tcBorders>
              <w:top w:val="nil"/>
              <w:left w:val="single" w:color="auto" w:sz="4" w:space="0"/>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OTOMOTIV ENDÜSTRİSİ OTOMOTİV YAN SANAYİ</w:t>
            </w:r>
          </w:p>
        </w:tc>
        <w:tc>
          <w:tcPr>
            <w:tcW w:w="1690"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6.146.361,57</w:t>
            </w:r>
          </w:p>
        </w:tc>
        <w:tc>
          <w:tcPr>
            <w:tcW w:w="1515"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11.973.176,01</w:t>
            </w:r>
          </w:p>
        </w:tc>
        <w:tc>
          <w:tcPr>
            <w:tcW w:w="1576"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94,80%</w:t>
            </w:r>
          </w:p>
        </w:tc>
      </w:tr>
      <w:tr w:rsidRPr="00302ED9" w:rsidR="00A03F61" w:rsidTr="008B59F2">
        <w:trPr>
          <w:trHeight w:val="382"/>
        </w:trPr>
        <w:tc>
          <w:tcPr>
            <w:tcW w:w="4995" w:type="dxa"/>
            <w:tcBorders>
              <w:top w:val="nil"/>
              <w:left w:val="single" w:color="auto" w:sz="4" w:space="0"/>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OTOMOTİV ENDÜSTRİSİ BİNEK OTOMOBİLLER</w:t>
            </w:r>
          </w:p>
        </w:tc>
        <w:tc>
          <w:tcPr>
            <w:tcW w:w="1690"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0,00</w:t>
            </w:r>
          </w:p>
        </w:tc>
        <w:tc>
          <w:tcPr>
            <w:tcW w:w="1515"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19.500,00</w:t>
            </w:r>
          </w:p>
        </w:tc>
        <w:tc>
          <w:tcPr>
            <w:tcW w:w="1576"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#OVERFLOW</w:t>
            </w:r>
          </w:p>
        </w:tc>
      </w:tr>
      <w:tr w:rsidRPr="00302ED9" w:rsidR="00A03F61" w:rsidTr="008B59F2">
        <w:trPr>
          <w:trHeight w:val="577"/>
        </w:trPr>
        <w:tc>
          <w:tcPr>
            <w:tcW w:w="4995" w:type="dxa"/>
            <w:tcBorders>
              <w:top w:val="nil"/>
              <w:left w:val="single" w:color="auto" w:sz="4" w:space="0"/>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OTOMOTIV ENDÜSTRİSİ OTOBÜS-MİDİBÜS-MİNİBÜS</w:t>
            </w:r>
          </w:p>
        </w:tc>
        <w:tc>
          <w:tcPr>
            <w:tcW w:w="1690"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0,00</w:t>
            </w:r>
          </w:p>
        </w:tc>
        <w:tc>
          <w:tcPr>
            <w:tcW w:w="1515"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12.000,00</w:t>
            </w:r>
          </w:p>
        </w:tc>
        <w:tc>
          <w:tcPr>
            <w:tcW w:w="1576"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#OVERFLOW</w:t>
            </w:r>
          </w:p>
        </w:tc>
      </w:tr>
      <w:tr w:rsidRPr="00302ED9" w:rsidR="00A03F61" w:rsidTr="008B59F2">
        <w:trPr>
          <w:trHeight w:val="262"/>
        </w:trPr>
        <w:tc>
          <w:tcPr>
            <w:tcW w:w="4995" w:type="dxa"/>
            <w:tcBorders>
              <w:top w:val="nil"/>
              <w:left w:val="single" w:color="auto" w:sz="4" w:space="0"/>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OTOMOTİV ENDÜSTRİSİ İKİ TEKERLEKLİ TAŞITLAR</w:t>
            </w:r>
          </w:p>
        </w:tc>
        <w:tc>
          <w:tcPr>
            <w:tcW w:w="1690"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840,00</w:t>
            </w:r>
          </w:p>
        </w:tc>
        <w:tc>
          <w:tcPr>
            <w:tcW w:w="1515"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114,65</w:t>
            </w:r>
          </w:p>
        </w:tc>
        <w:tc>
          <w:tcPr>
            <w:tcW w:w="1576"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-86,35%</w:t>
            </w:r>
          </w:p>
        </w:tc>
      </w:tr>
      <w:tr w:rsidRPr="00302ED9" w:rsidR="00A03F61" w:rsidTr="008B59F2">
        <w:trPr>
          <w:trHeight w:val="240"/>
        </w:trPr>
        <w:tc>
          <w:tcPr>
            <w:tcW w:w="4995" w:type="dxa"/>
            <w:tcBorders>
              <w:top w:val="nil"/>
              <w:left w:val="single" w:color="auto" w:sz="4" w:space="0"/>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OTOMOTİV ENDÜSTRİSİ ÇEKİCİLER</w:t>
            </w:r>
          </w:p>
        </w:tc>
        <w:tc>
          <w:tcPr>
            <w:tcW w:w="1690"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309.451,04</w:t>
            </w:r>
          </w:p>
        </w:tc>
        <w:tc>
          <w:tcPr>
            <w:tcW w:w="1515"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0,00</w:t>
            </w:r>
          </w:p>
        </w:tc>
        <w:tc>
          <w:tcPr>
            <w:tcW w:w="1576"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-100,00%</w:t>
            </w:r>
          </w:p>
        </w:tc>
      </w:tr>
      <w:tr w:rsidRPr="00302ED9" w:rsidR="00A03F61" w:rsidTr="008B59F2">
        <w:trPr>
          <w:trHeight w:val="440"/>
        </w:trPr>
        <w:tc>
          <w:tcPr>
            <w:tcW w:w="4995" w:type="dxa"/>
            <w:tcBorders>
              <w:top w:val="nil"/>
              <w:left w:val="single" w:color="auto" w:sz="4" w:space="0"/>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OTOMOTİV ENDÜSTRİSİ EŞYA TAŞIMAYA MAHSUS MOTORLU TAŞITLAR</w:t>
            </w:r>
          </w:p>
        </w:tc>
        <w:tc>
          <w:tcPr>
            <w:tcW w:w="1690"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301.597,55</w:t>
            </w:r>
          </w:p>
        </w:tc>
        <w:tc>
          <w:tcPr>
            <w:tcW w:w="1515"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0,00</w:t>
            </w:r>
          </w:p>
        </w:tc>
        <w:tc>
          <w:tcPr>
            <w:tcW w:w="1576"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-100,00%</w:t>
            </w:r>
          </w:p>
        </w:tc>
      </w:tr>
      <w:tr w:rsidRPr="00302ED9" w:rsidR="00A03F61" w:rsidTr="008B59F2">
        <w:trPr>
          <w:trHeight w:val="440"/>
        </w:trPr>
        <w:tc>
          <w:tcPr>
            <w:tcW w:w="4995" w:type="dxa"/>
            <w:tcBorders>
              <w:top w:val="nil"/>
              <w:left w:val="single" w:color="auto" w:sz="4" w:space="0"/>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OTOMOTİV ENDÜSTRİSİ ÖZEL AMAÇLI MOTORLU TAŞITLAR</w:t>
            </w:r>
          </w:p>
        </w:tc>
        <w:tc>
          <w:tcPr>
            <w:tcW w:w="1690"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141.317,15</w:t>
            </w:r>
          </w:p>
        </w:tc>
        <w:tc>
          <w:tcPr>
            <w:tcW w:w="1515"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0,00</w:t>
            </w:r>
          </w:p>
        </w:tc>
        <w:tc>
          <w:tcPr>
            <w:tcW w:w="1576" w:type="dxa"/>
            <w:tcBorders>
              <w:top w:val="nil"/>
              <w:left w:val="nil"/>
              <w:bottom w:val="single" w:color="auto" w:sz="4" w:space="0"/>
              <w:right w:val="single" w:color="auto" w:sz="4" w:space="0"/>
            </w:tcBorders>
            <w:shd w:val="clear" w:color="FFFFFF" w:fill="FFFFFF"/>
            <w:noWrap/>
            <w:vAlign w:val="bottom"/>
            <w:hideMark/>
          </w:tcPr>
          <w:p w:rsidRPr="00302ED9" w:rsidR="00A03F61" w:rsidP="00302ED9" w:rsidRDefault="00A03F61">
            <w:pPr>
              <w:spacing w:after="0" w:line="240" w:lineRule="auto"/>
              <w:jc w:val="right"/>
              <w:rPr>
                <w:rFonts w:ascii="Arial" w:hAnsi="Arial" w:eastAsia="Times New Roman" w:cs="Arial"/>
                <w:color w:val="333333"/>
                <w:sz w:val="18"/>
                <w:szCs w:val="18"/>
                <w:lang w:eastAsia="tr-TR"/>
              </w:rPr>
            </w:pPr>
            <w:r w:rsidRPr="00302ED9">
              <w:rPr>
                <w:rFonts w:ascii="Arial" w:hAnsi="Arial" w:eastAsia="Times New Roman" w:cs="Arial"/>
                <w:color w:val="333333"/>
                <w:sz w:val="18"/>
                <w:szCs w:val="18"/>
                <w:lang w:eastAsia="tr-TR"/>
              </w:rPr>
              <w:t>-100,00%</w:t>
            </w:r>
          </w:p>
        </w:tc>
      </w:tr>
    </w:tbl>
    <w:p w:rsidR="001C320E" w:rsidP="001C320E" w:rsidRDefault="001C320E">
      <w:pPr>
        <w:spacing w:after="100" w:afterAutospacing="1" w:line="240" w:lineRule="auto"/>
        <w:jc w:val="both"/>
        <w:rPr>
          <w:rFonts w:eastAsia="Times New Roman" w:cstheme="minorHAnsi"/>
          <w:color w:val="212529"/>
          <w:lang w:eastAsia="tr-TR"/>
        </w:rPr>
      </w:pPr>
      <w:r>
        <w:rPr>
          <w:rFonts w:eastAsia="Times New Roman" w:cstheme="minorHAnsi"/>
          <w:color w:val="212529"/>
          <w:lang w:eastAsia="tr-TR"/>
        </w:rPr>
        <w:t>O</w:t>
      </w:r>
      <w:r w:rsidRPr="008B59F2">
        <w:rPr>
          <w:rFonts w:eastAsia="Times New Roman" w:cstheme="minorHAnsi"/>
          <w:color w:val="212529"/>
          <w:lang w:eastAsia="tr-TR"/>
        </w:rPr>
        <w:t>tomotiv sektöründe</w:t>
      </w:r>
      <w:r>
        <w:rPr>
          <w:rFonts w:eastAsia="Times New Roman" w:cstheme="minorHAnsi"/>
          <w:color w:val="212529"/>
          <w:lang w:eastAsia="tr-TR"/>
        </w:rPr>
        <w:t>,</w:t>
      </w:r>
      <w:r w:rsidRPr="008B59F2">
        <w:rPr>
          <w:rFonts w:eastAsia="Times New Roman" w:cstheme="minorHAnsi"/>
          <w:color w:val="212529"/>
          <w:lang w:eastAsia="tr-TR"/>
        </w:rPr>
        <w:t xml:space="preserve"> Nijerya’ya ihracatımıza bakıldığında; 2019 Ocak Kasım ayı verilerine göre en büyük kalemi yan sanayi ürünleri oluşturmaktadır.</w:t>
      </w:r>
    </w:p>
    <w:p w:rsidR="00DC2383" w:rsidP="00D97556" w:rsidRDefault="00DC2383">
      <w:r w:rsidRPr="00022AE5">
        <w:rPr>
          <w:rFonts w:eastAsia="Times New Roman" w:cs="Times New Roman"/>
          <w:b/>
          <w:bCs/>
          <w:color w:val="0F243E"/>
          <w:sz w:val="24"/>
          <w:lang w:eastAsia="tr-TR"/>
        </w:rPr>
        <w:t>İŞ ADAMLARININ PAZARDA DİKKAT ETMESİ GEREKEN HUSUSLAR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Ülke nüfusunun yüksek oluşu ve önemli miktarda ve süreklilik arz eden bir petrol (ve doğal gaz) gelirinin bulunması, Nijerya’nın uluslararası alandaki önemini artırmakta ve batılı ülkelerce (olumlu konjonktürde) yatırım yapılabilecek ülkeler arasında gösterilmektedir. </w:t>
      </w:r>
    </w:p>
    <w:p w:rsidRPr="00DC2383" w:rsidR="00DC2383" w:rsidP="007C5DF6" w:rsidRDefault="007C5DF6">
      <w:pPr>
        <w:spacing w:before="100" w:beforeAutospacing="1" w:after="100" w:afterAutospacing="1" w:line="240" w:lineRule="auto"/>
        <w:jc w:val="both"/>
        <w:rPr>
          <w:rFonts w:eastAsia="Times New Roman" w:cstheme="minorHAnsi"/>
          <w:color w:val="212529"/>
          <w:lang w:eastAsia="tr-TR"/>
        </w:rPr>
      </w:pPr>
      <w:r>
        <w:rPr>
          <w:rFonts w:eastAsia="Times New Roman" w:cstheme="minorHAnsi"/>
          <w:color w:val="212529"/>
          <w:lang w:eastAsia="tr-TR"/>
        </w:rPr>
        <w:t>N</w:t>
      </w:r>
      <w:r w:rsidRPr="00DC2383" w:rsidR="00DC2383">
        <w:rPr>
          <w:rFonts w:eastAsia="Times New Roman" w:cstheme="minorHAnsi"/>
          <w:color w:val="212529"/>
          <w:lang w:eastAsia="tr-TR"/>
        </w:rPr>
        <w:t>ijerya, sadece kendi iç pazarı açısından değil, aynı zamanda ECOWAS’a üye ülkelerin pazarlarına giriş için de önem taşımaktadır. </w:t>
      </w:r>
    </w:p>
    <w:p w:rsidRPr="00DC2383" w:rsidR="00DC2383" w:rsidP="007C5DF6" w:rsidRDefault="00DC2383">
      <w:pPr>
        <w:spacing w:before="100" w:beforeAutospacing="1" w:after="100" w:afterAutospacing="1" w:line="240" w:lineRule="auto"/>
        <w:jc w:val="both"/>
        <w:rPr>
          <w:rFonts w:ascii="Roboto" w:hAnsi="Roboto" w:eastAsia="Times New Roman" w:cs="Times New Roman"/>
          <w:color w:val="212529"/>
          <w:sz w:val="24"/>
          <w:szCs w:val="24"/>
          <w:lang w:eastAsia="tr-TR"/>
        </w:rPr>
      </w:pPr>
      <w:r w:rsidRPr="00DC2383">
        <w:rPr>
          <w:rFonts w:eastAsia="Times New Roman" w:cstheme="minorHAnsi"/>
          <w:color w:val="212529"/>
          <w:lang w:eastAsia="tr-TR"/>
        </w:rPr>
        <w:t>Yabancıların konaklama ihtiyaçlarının yeterince karşılanamadığı Nijerya’da önemli ölçüde otel yatırımlarına ihtiyaç duyulmakta olup, bu alanda yatırımcılarımız açısından önemli bir potansiyel olduğu düşünülmektedir</w:t>
      </w:r>
      <w:r w:rsidRPr="00DC2383">
        <w:rPr>
          <w:rFonts w:ascii="Roboto" w:hAnsi="Roboto" w:eastAsia="Times New Roman" w:cs="Times New Roman"/>
          <w:color w:val="212529"/>
          <w:sz w:val="24"/>
          <w:szCs w:val="24"/>
          <w:lang w:eastAsia="tr-TR"/>
        </w:rPr>
        <w:t>. </w:t>
      </w:r>
    </w:p>
    <w:p w:rsidRPr="00DC2383" w:rsidR="00DC2383" w:rsidP="007C5DF6" w:rsidRDefault="00DC2383">
      <w:pPr>
        <w:spacing w:before="100" w:beforeAutospacing="1" w:after="100" w:afterAutospacing="1" w:line="240" w:lineRule="auto"/>
        <w:jc w:val="both"/>
        <w:rPr>
          <w:rFonts w:ascii="Roboto" w:hAnsi="Roboto" w:eastAsia="Times New Roman" w:cs="Times New Roman"/>
          <w:color w:val="212529"/>
          <w:sz w:val="24"/>
          <w:szCs w:val="24"/>
          <w:lang w:eastAsia="tr-TR"/>
        </w:rPr>
      </w:pPr>
      <w:r w:rsidRPr="00DC2383">
        <w:rPr>
          <w:rFonts w:eastAsia="Times New Roman" w:cstheme="minorHAnsi"/>
          <w:color w:val="212529"/>
          <w:lang w:eastAsia="tr-TR"/>
        </w:rPr>
        <w:t>Ticarette dolandırıcılığın (sahte firma talepleri vb) yaşandığı ülkelerden birisi olan Nijerya’da, dolandırıcılığa karşı dikkatli olunması ve iş görüşmeleri ve ziyaret öncesinde Nijerya’daki (Abuja) Büyükelçiliğimiz ve Ticaret Müşavirliğimizle (abuja@ekonomi.gov.tr) yakın temasta olunmasında fayda görülmektedir. Öte yandan, Lagos’ta diplomatik temsilciliğimiz bulunmamaktadır.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Ayrıca, Nijerya’nın ticaret merkezi konumundaki Lagos Ticaret ve Sanayi Odası (</w:t>
      </w:r>
      <w:hyperlink w:history="1" r:id="rId10">
        <w:r w:rsidRPr="00DC2383">
          <w:rPr>
            <w:rFonts w:eastAsia="Times New Roman" w:cstheme="minorHAnsi"/>
            <w:color w:val="212529"/>
            <w:lang w:eastAsia="tr-TR"/>
          </w:rPr>
          <w:t>www.lagoschamber.com</w:t>
        </w:r>
      </w:hyperlink>
      <w:r w:rsidRPr="00DC2383">
        <w:rPr>
          <w:rFonts w:eastAsia="Times New Roman" w:cstheme="minorHAnsi"/>
          <w:color w:val="212529"/>
          <w:lang w:eastAsia="tr-TR"/>
        </w:rPr>
        <w:t>) ile de, bu şehirden gelecek firma (ürün) taleplerinin doğruluğunun teyidi hakkında bilgi alma amaçlı temasa geçilebileceği değerlendirilmektedir. Bahse konu Odaya üye olan yerel firmaların listesi de aynı web sayfada (</w:t>
      </w:r>
      <w:hyperlink w:history="1" r:id="rId11">
        <w:r w:rsidRPr="00DC2383">
          <w:rPr>
            <w:rFonts w:eastAsia="Times New Roman" w:cstheme="minorHAnsi"/>
            <w:color w:val="212529"/>
            <w:lang w:eastAsia="tr-TR"/>
          </w:rPr>
          <w:t>http://lagoschamber.com/members-directorty/</w:t>
        </w:r>
      </w:hyperlink>
      <w:r w:rsidRPr="00DC2383">
        <w:rPr>
          <w:rFonts w:eastAsia="Times New Roman" w:cstheme="minorHAnsi"/>
          <w:color w:val="212529"/>
          <w:lang w:eastAsia="tr-TR"/>
        </w:rPr>
        <w:t>) yer almaktadır.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lastRenderedPageBreak/>
        <w:t>Benzer şekilde Abuja Ticaret ve Sanayi Odası da (</w:t>
      </w:r>
      <w:hyperlink w:history="1" r:id="rId12">
        <w:r w:rsidRPr="00DC2383">
          <w:rPr>
            <w:rFonts w:eastAsia="Times New Roman" w:cstheme="minorHAnsi"/>
            <w:color w:val="212529"/>
            <w:lang w:eastAsia="tr-TR"/>
          </w:rPr>
          <w:t>http://www.accinigeria.com/</w:t>
        </w:r>
      </w:hyperlink>
      <w:r w:rsidRPr="00DC2383">
        <w:rPr>
          <w:rFonts w:eastAsia="Times New Roman" w:cstheme="minorHAnsi"/>
          <w:color w:val="212529"/>
          <w:lang w:eastAsia="tr-TR"/>
        </w:rPr>
        <w:t>) ticari bağlantılar ve üye firmalar konusunda iletişim kurulabilecek diğer bir meslek kuruluşudur.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Global, bölgesel ve iç ekonomik, siyasi ve güvenlik sorunlarından kaynaklanan ekonomik gelir daralmasından dolayı, piyasada yaşanan döviz sıkıntısı ve özel sektörün yurtdışına döviz transferindeki zorlukların da ihracat bağlantıları sırasında göz önünde bulundurulması gereken önemli bir husus olduğu değerlendirilmektedir.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Nijerya’da düzenlenecek uluslararası veya Türk İhraç Ürünleri Fuarlarına katılımın pazara giriş stratejisi açısından yararlı olacağı değerlendirilmektedir. Ülkedeki fuar bilgileri </w:t>
      </w:r>
      <w:hyperlink w:history="1" w:anchor="!%40%40%3F_afrWindowId%3D132uf687zp_66%26_afrLoop%3D552561452795710%26_afrWindowMode%3D0%26_adf.ctrl-state%3D132uf687zp_130" r:id="rId13">
        <w:r w:rsidRPr="00DC2383">
          <w:rPr>
            <w:rFonts w:eastAsia="Times New Roman" w:cstheme="minorHAnsi"/>
            <w:color w:val="212529"/>
            <w:lang w:eastAsia="tr-TR"/>
          </w:rPr>
          <w:t>Ekonomi Bakanlığının web sayfasında</w:t>
        </w:r>
      </w:hyperlink>
      <w:r w:rsidRPr="00DC2383">
        <w:rPr>
          <w:rFonts w:eastAsia="Times New Roman" w:cstheme="minorHAnsi"/>
          <w:color w:val="212529"/>
          <w:lang w:eastAsia="tr-TR"/>
        </w:rPr>
        <w:t> yayınlanmaktadır.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Nijerya tarafından Türk vatandaşlarına vize uygulaması söz konusudur.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Döviz kuru, merkez bankası resmi kuruna (1 Dolar: 305 Naira) göre, piyasada (sokakta) 100-150 Naira daha pahalıya bozdurulabilmektedir. Piyasadaki döviz darlığı karaborsa oluşmasına yol açmıştır.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THY’nin ticaret merkezi konumundaki Lagos’a haftanın her günü ve başkent Abuja’ya altı gün uçak seferleri bulunmaktadır. (</w:t>
      </w:r>
      <w:hyperlink w:history="1" r:id="rId14">
        <w:r w:rsidRPr="00DC2383">
          <w:rPr>
            <w:rFonts w:eastAsia="Times New Roman" w:cstheme="minorHAnsi"/>
            <w:color w:val="212529"/>
            <w:lang w:eastAsia="tr-TR"/>
          </w:rPr>
          <w:t>www.thy.com</w:t>
        </w:r>
      </w:hyperlink>
      <w:r w:rsidRPr="00DC2383">
        <w:rPr>
          <w:rFonts w:eastAsia="Times New Roman" w:cstheme="minorHAnsi"/>
          <w:color w:val="212529"/>
          <w:lang w:eastAsia="tr-TR"/>
        </w:rPr>
        <w:t>)</w:t>
      </w:r>
    </w:p>
    <w:p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Sağlık</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Nijerya’daki sağlık hizmetleri yetersizdir. Teşhis ve tedavi ekipmanı genellikle bakımsız olup, çoğu ilacı temin etmek mümkün değildir. Taklit ilaç kullanımı yaygındır. Yerel eczanelerde ve marketlerde satılan taklit ilaçları gerçeğinden ayırt etmek çok zordur.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Nijerya’da iyi yetişmiş çok sayıda doktor bulunmasına rağmen, yardımcı kadro iyi eğitim görmemiştir. Hastaneler fiziksel olarak düşük standarttadır ve verdikleri sağlık hizmetleri için genel olarak peşin ödeme talep etmektedir. Nijerya’ya gitmek isteyenlerin ülkede yaygın ve salgın hastalıklar hakkında bilgi edinip, gerekli aşıları yaptırdıktan sonra ülkeye seyahat etmeleri gerekmektedir.</w:t>
      </w:r>
    </w:p>
    <w:p w:rsidRPr="007C5DF6"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7C5DF6">
        <w:rPr>
          <w:rFonts w:eastAsia="Times New Roman" w:cstheme="minorHAnsi"/>
          <w:color w:val="212529"/>
          <w:lang w:eastAsia="tr-TR"/>
        </w:rPr>
        <w:t>Sıtma, verem, çocuk felci, sarılık, HIV/AIDS gibi hastalıklar ülke genelinde yaygın olup, ülkeye seyahat edeceklerin sarıhumma aşısını yaptırmış olmaları gerekmektedir.</w:t>
      </w:r>
    </w:p>
    <w:p w:rsidRPr="007C5DF6"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7C5DF6">
        <w:rPr>
          <w:rFonts w:eastAsia="Times New Roman" w:cstheme="minorHAnsi"/>
          <w:color w:val="212529"/>
          <w:lang w:eastAsia="tr-TR"/>
        </w:rPr>
        <w:t>Güvenlik</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Ülkenin değişik bölgelerinde etnik ve dini nedenler başta olmak üzere, toplumsal huzursuzluk ve şiddete dayalı olaylar meydana gelebilmektedir. En çok petrol üretilen bölge olmasına rağmen, Nijer-Delta bölgesinde terör ve adi suç eylemleri ve kabileler arası çatışmalar yaygındır.</w:t>
      </w:r>
    </w:p>
    <w:p w:rsidRPr="00DC2383" w:rsidR="00DC2383" w:rsidP="007C5DF6" w:rsidRDefault="00DC2383">
      <w:pPr>
        <w:spacing w:before="100" w:beforeAutospacing="1" w:after="100" w:afterAutospacing="1" w:line="240" w:lineRule="auto"/>
        <w:jc w:val="both"/>
        <w:rPr>
          <w:rFonts w:eastAsia="Times New Roman" w:cstheme="minorHAnsi"/>
          <w:color w:val="212529"/>
          <w:lang w:eastAsia="tr-TR"/>
        </w:rPr>
      </w:pPr>
      <w:r w:rsidRPr="00DC2383">
        <w:rPr>
          <w:rFonts w:eastAsia="Times New Roman" w:cstheme="minorHAnsi"/>
          <w:color w:val="212529"/>
          <w:lang w:eastAsia="tr-TR"/>
        </w:rPr>
        <w:t>Nijerya’nın genelinde adi suç çetelerinin hırsızlık ve soygun (adam kaçırma) eylemleri olasılık dâhilindedir. Yabancıların tek başına özellikle akşam saatlerinde belirli bölgelerde dolaşmamaları tavsiye edilmektedir.</w:t>
      </w:r>
    </w:p>
    <w:p w:rsidR="00DC267F" w:rsidP="009E2E6E" w:rsidRDefault="00DC267F">
      <w:pPr>
        <w:spacing w:after="160" w:line="259" w:lineRule="auto"/>
        <w:rPr>
          <w:b/>
          <w:sz w:val="40"/>
        </w:rPr>
      </w:pPr>
    </w:p>
    <w:p w:rsidR="00DC267F" w:rsidP="009E2E6E" w:rsidRDefault="00DC267F">
      <w:pPr>
        <w:spacing w:after="160" w:line="259" w:lineRule="auto"/>
        <w:rPr>
          <w:b/>
          <w:sz w:val="40"/>
        </w:rPr>
      </w:pPr>
    </w:p>
    <w:p w:rsidRPr="00E428E7" w:rsidR="009E2E6E" w:rsidP="009E2E6E" w:rsidRDefault="009E2E6E">
      <w:pPr>
        <w:spacing w:after="160" w:line="259" w:lineRule="auto"/>
        <w:rPr>
          <w:b/>
          <w:sz w:val="40"/>
        </w:rPr>
      </w:pPr>
      <w:bookmarkStart w:name="_GoBack" w:id="0"/>
      <w:bookmarkEnd w:id="0"/>
      <w:r w:rsidRPr="00E428E7">
        <w:rPr>
          <w:b/>
          <w:sz w:val="40"/>
        </w:rPr>
        <w:lastRenderedPageBreak/>
        <w:t>KAYNAKLAR</w:t>
      </w:r>
    </w:p>
    <w:p w:rsidR="009E2E6E" w:rsidP="009E2E6E" w:rsidRDefault="009E2E6E">
      <w:pPr>
        <w:numPr>
          <w:ilvl w:val="0"/>
          <w:numId w:val="10"/>
        </w:numPr>
        <w:spacing w:after="160" w:line="259" w:lineRule="auto"/>
        <w:contextualSpacing/>
        <w:jc w:val="both"/>
        <w:rPr>
          <w:sz w:val="24"/>
        </w:rPr>
      </w:pPr>
      <w:r>
        <w:rPr>
          <w:sz w:val="24"/>
        </w:rPr>
        <w:t xml:space="preserve">OICA </w:t>
      </w:r>
      <w:hyperlink w:history="1" r:id="rId15">
        <w:r w:rsidRPr="00630BC0">
          <w:rPr>
            <w:rStyle w:val="Kpr"/>
            <w:sz w:val="24"/>
          </w:rPr>
          <w:t>www.oica.net</w:t>
        </w:r>
      </w:hyperlink>
    </w:p>
    <w:p w:rsidRPr="00E428E7" w:rsidR="009E2E6E" w:rsidP="009E2E6E" w:rsidRDefault="009E2E6E">
      <w:pPr>
        <w:numPr>
          <w:ilvl w:val="0"/>
          <w:numId w:val="10"/>
        </w:numPr>
        <w:spacing w:after="160" w:line="259" w:lineRule="auto"/>
        <w:contextualSpacing/>
        <w:jc w:val="both"/>
        <w:rPr>
          <w:sz w:val="24"/>
        </w:rPr>
      </w:pPr>
      <w:r w:rsidRPr="00E428E7">
        <w:rPr>
          <w:sz w:val="24"/>
        </w:rPr>
        <w:t xml:space="preserve">Ticaret Bakanlığı </w:t>
      </w:r>
      <w:hyperlink w:history="1" r:id="rId16">
        <w:r w:rsidRPr="00E428E7">
          <w:rPr>
            <w:color w:val="0000FF" w:themeColor="hyperlink"/>
            <w:sz w:val="24"/>
            <w:u w:val="single"/>
          </w:rPr>
          <w:t>www.ticaret.gov.tr</w:t>
        </w:r>
      </w:hyperlink>
    </w:p>
    <w:p w:rsidRPr="00E428E7" w:rsidR="009E2E6E" w:rsidP="009E2E6E" w:rsidRDefault="009E2E6E">
      <w:pPr>
        <w:numPr>
          <w:ilvl w:val="0"/>
          <w:numId w:val="10"/>
        </w:numPr>
        <w:spacing w:after="160" w:line="259" w:lineRule="auto"/>
        <w:contextualSpacing/>
        <w:jc w:val="both"/>
        <w:rPr>
          <w:sz w:val="24"/>
        </w:rPr>
      </w:pPr>
      <w:r w:rsidRPr="00E428E7">
        <w:rPr>
          <w:sz w:val="24"/>
        </w:rPr>
        <w:t xml:space="preserve">Trademap  </w:t>
      </w:r>
      <w:hyperlink w:history="1" r:id="rId17">
        <w:r w:rsidRPr="00E428E7">
          <w:rPr>
            <w:color w:val="0000FF" w:themeColor="hyperlink"/>
            <w:sz w:val="24"/>
            <w:u w:val="single"/>
          </w:rPr>
          <w:t>www.trademap.org</w:t>
        </w:r>
      </w:hyperlink>
    </w:p>
    <w:p w:rsidRPr="00E428E7" w:rsidR="009E2E6E" w:rsidP="009E2E6E" w:rsidRDefault="009E2E6E">
      <w:pPr>
        <w:numPr>
          <w:ilvl w:val="0"/>
          <w:numId w:val="10"/>
        </w:numPr>
        <w:spacing w:after="160" w:line="259" w:lineRule="auto"/>
        <w:contextualSpacing/>
        <w:jc w:val="both"/>
        <w:rPr>
          <w:sz w:val="24"/>
        </w:rPr>
      </w:pPr>
      <w:r w:rsidRPr="00E428E7">
        <w:rPr>
          <w:sz w:val="24"/>
        </w:rPr>
        <w:t>TUİK</w:t>
      </w:r>
      <w:r>
        <w:rPr>
          <w:sz w:val="24"/>
          <w:u w:val="single"/>
        </w:rPr>
        <w:t xml:space="preserve"> </w:t>
      </w:r>
      <w:hyperlink w:history="1" r:id="rId18">
        <w:r w:rsidRPr="00630BC0">
          <w:rPr>
            <w:rStyle w:val="Kpr"/>
            <w:sz w:val="24"/>
          </w:rPr>
          <w:t>www.tuik.gov.tr</w:t>
        </w:r>
      </w:hyperlink>
    </w:p>
    <w:p w:rsidR="009E2E6E" w:rsidP="009E2E6E" w:rsidRDefault="009E2E6E">
      <w:pPr>
        <w:numPr>
          <w:ilvl w:val="0"/>
          <w:numId w:val="10"/>
        </w:numPr>
        <w:spacing w:after="160" w:line="259" w:lineRule="auto"/>
        <w:contextualSpacing/>
        <w:jc w:val="both"/>
        <w:rPr>
          <w:sz w:val="24"/>
        </w:rPr>
      </w:pPr>
      <w:r w:rsidRPr="00E428E7">
        <w:rPr>
          <w:sz w:val="24"/>
        </w:rPr>
        <w:t xml:space="preserve">Türkiye İhracatçılar Meclisi </w:t>
      </w:r>
      <w:hyperlink w:history="1" r:id="rId19">
        <w:r w:rsidRPr="00E428E7">
          <w:rPr>
            <w:color w:val="0000FF" w:themeColor="hyperlink"/>
            <w:sz w:val="24"/>
            <w:u w:val="single"/>
          </w:rPr>
          <w:t>http://www.tim.org.tr/tr/</w:t>
        </w:r>
      </w:hyperlink>
      <w:r w:rsidRPr="00E428E7">
        <w:rPr>
          <w:sz w:val="24"/>
        </w:rPr>
        <w:t xml:space="preserve"> </w:t>
      </w:r>
    </w:p>
    <w:p w:rsidRPr="00E428E7" w:rsidR="009E2E6E" w:rsidP="009E2E6E" w:rsidRDefault="009E2E6E">
      <w:pPr>
        <w:numPr>
          <w:ilvl w:val="0"/>
          <w:numId w:val="10"/>
        </w:numPr>
        <w:spacing w:after="160" w:line="259" w:lineRule="auto"/>
        <w:contextualSpacing/>
        <w:jc w:val="both"/>
        <w:rPr>
          <w:sz w:val="24"/>
        </w:rPr>
      </w:pPr>
      <w:r w:rsidRPr="00E428E7">
        <w:rPr>
          <w:sz w:val="24"/>
        </w:rPr>
        <w:t xml:space="preserve">Uludağ İhracatçı Birlikleri </w:t>
      </w:r>
      <w:hyperlink w:history="1" r:id="rId20">
        <w:r w:rsidRPr="00E428E7">
          <w:rPr>
            <w:color w:val="0000FF" w:themeColor="hyperlink"/>
            <w:sz w:val="24"/>
            <w:u w:val="single"/>
          </w:rPr>
          <w:t>http://www.uib.org.tr/tr/</w:t>
        </w:r>
      </w:hyperlink>
      <w:r w:rsidRPr="00E428E7">
        <w:rPr>
          <w:sz w:val="24"/>
        </w:rPr>
        <w:t xml:space="preserve"> </w:t>
      </w:r>
    </w:p>
    <w:p w:rsidR="009E2E6E" w:rsidP="009E2E6E" w:rsidRDefault="009E2E6E">
      <w:pPr>
        <w:spacing w:after="160" w:line="259" w:lineRule="auto"/>
        <w:contextualSpacing/>
        <w:jc w:val="both"/>
        <w:rPr>
          <w:sz w:val="24"/>
        </w:rPr>
      </w:pPr>
    </w:p>
    <w:p w:rsidRPr="00E428E7" w:rsidR="009E2E6E" w:rsidP="009E2E6E" w:rsidRDefault="009E2E6E">
      <w:pPr>
        <w:spacing w:after="160" w:line="259" w:lineRule="auto"/>
        <w:contextualSpacing/>
        <w:jc w:val="both"/>
        <w:rPr>
          <w:sz w:val="24"/>
        </w:rPr>
      </w:pPr>
    </w:p>
    <w:p w:rsidRPr="00E428E7" w:rsidR="009E2E6E" w:rsidP="009E2E6E" w:rsidRDefault="009E2E6E">
      <w:pPr>
        <w:spacing w:after="160" w:line="259" w:lineRule="auto"/>
        <w:jc w:val="both"/>
      </w:pPr>
      <w:r w:rsidRPr="00E428E7">
        <w:t>YASAL UYARI; Bu rapor Birliğimiz uzmanları tarafından güvenilir olduğuna inanılan kamuya açık kaynaklardan elde edilen bilgiler kullanılmak suretiyle, sadece bilgilendirme amacıyla hazırlanmıştır. Bu rapor ve içindeki bilgilerin kullanılması nedeniyle doğrudan veya dolaylı olarak oluşacak zararlardan Birliğimiz hiçbir şekilde sorumluluk kabul etmemektedir. Birliğimizin yazılı izni alınmaksızın herhangi bir kişi tarafından, herhangi bir amaçla, kısmen veya tamamen çoğaltılamaz, dağıtılamaz veya yayımlanamaz. Tüm haklarımız saklıdır.</w:t>
      </w:r>
    </w:p>
    <w:p w:rsidRPr="00E546EB" w:rsidR="009E2E6E" w:rsidP="009E2E6E" w:rsidRDefault="009E2E6E">
      <w:pPr>
        <w:rPr>
          <w:rFonts w:cstheme="minorHAnsi"/>
        </w:rPr>
      </w:pPr>
    </w:p>
    <w:p w:rsidRPr="00DC2383" w:rsidR="008B59F2" w:rsidP="00DC2383" w:rsidRDefault="008B59F2">
      <w:pPr>
        <w:spacing w:before="100" w:beforeAutospacing="1" w:after="100" w:afterAutospacing="1" w:line="240" w:lineRule="auto"/>
        <w:ind w:left="501"/>
        <w:jc w:val="both"/>
        <w:rPr>
          <w:rFonts w:eastAsia="Times New Roman" w:cstheme="minorHAnsi"/>
          <w:color w:val="212529"/>
          <w:lang w:eastAsia="tr-TR"/>
        </w:rPr>
      </w:pPr>
    </w:p>
    <w:sectPr w:rsidRPr="00DC2383" w:rsidR="008B59F2" w:rsidSect="001F121E">
      <w:footerReference w:type="default" r:id="rId21"/>
      <w:type w:val="continuous"/>
      <w:pgSz w:w="12240" w:h="15840"/>
      <w:pgMar w:top="1418" w:right="1418" w:bottom="1418" w:left="1418" w:header="567" w:footer="595"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006" w:rsidRDefault="00647006" w:rsidP="00DC267F">
      <w:pPr>
        <w:spacing w:after="0" w:line="240" w:lineRule="auto"/>
      </w:pPr>
      <w:r>
        <w:separator/>
      </w:r>
    </w:p>
  </w:endnote>
  <w:endnote w:type="continuationSeparator" w:id="0">
    <w:p w:rsidR="00647006" w:rsidRDefault="00647006" w:rsidP="00DC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Roboto">
    <w:panose1 w:val="02000000000000000000"/>
    <w:charset w:val="A2"/>
    <w:family w:val="auto"/>
    <w:pitch w:val="variable"/>
    <w:sig w:usb0="E0000AFF" w:usb1="5000217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24679"/>
      <w:docPartObj>
        <w:docPartGallery w:val="Page Numbers (Bottom of Page)"/>
        <w:docPartUnique/>
      </w:docPartObj>
    </w:sdtPr>
    <w:sdtContent>
      <w:p w:rsidR="00DC267F" w:rsidRDefault="00DC267F">
        <w:pPr>
          <w:pStyle w:val="Altbilgi"/>
          <w:jc w:val="right"/>
        </w:pPr>
        <w:r>
          <w:fldChar w:fldCharType="begin"/>
        </w:r>
        <w:r>
          <w:instrText>PAGE   \* MERGEFORMAT</w:instrText>
        </w:r>
        <w:r>
          <w:fldChar w:fldCharType="separate"/>
        </w:r>
        <w:r>
          <w:rPr>
            <w:noProof/>
          </w:rPr>
          <w:t>9</w:t>
        </w:r>
        <w:r>
          <w:fldChar w:fldCharType="end"/>
        </w:r>
      </w:p>
    </w:sdtContent>
  </w:sdt>
  <w:p w:rsidR="00DC267F" w:rsidRDefault="00DC26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006" w:rsidRDefault="00647006" w:rsidP="00DC267F">
      <w:pPr>
        <w:spacing w:after="0" w:line="240" w:lineRule="auto"/>
      </w:pPr>
      <w:r>
        <w:separator/>
      </w:r>
    </w:p>
  </w:footnote>
  <w:footnote w:type="continuationSeparator" w:id="0">
    <w:p w:rsidR="00647006" w:rsidRDefault="00647006" w:rsidP="00DC2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66B5"/>
    <w:multiLevelType w:val="multilevel"/>
    <w:tmpl w:val="F8E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420B4"/>
    <w:multiLevelType w:val="multilevel"/>
    <w:tmpl w:val="A39C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D15B0"/>
    <w:multiLevelType w:val="multilevel"/>
    <w:tmpl w:val="8F2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E5046"/>
    <w:multiLevelType w:val="multilevel"/>
    <w:tmpl w:val="968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D4754"/>
    <w:multiLevelType w:val="multilevel"/>
    <w:tmpl w:val="574A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B7EEA"/>
    <w:multiLevelType w:val="multilevel"/>
    <w:tmpl w:val="3F08841C"/>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6" w15:restartNumberingAfterBreak="0">
    <w:nsid w:val="66837640"/>
    <w:multiLevelType w:val="multilevel"/>
    <w:tmpl w:val="7F82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359FA"/>
    <w:multiLevelType w:val="multilevel"/>
    <w:tmpl w:val="1206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B07E4"/>
    <w:multiLevelType w:val="hybridMultilevel"/>
    <w:tmpl w:val="0DF86948"/>
    <w:lvl w:ilvl="0" w:tplc="4B265D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D775FF"/>
    <w:multiLevelType w:val="multilevel"/>
    <w:tmpl w:val="0094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4"/>
  </w:num>
  <w:num w:numId="4">
    <w:abstractNumId w:val="2"/>
  </w:num>
  <w:num w:numId="5">
    <w:abstractNumId w:val="1"/>
  </w:num>
  <w:num w:numId="6">
    <w:abstractNumId w:val="0"/>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D7"/>
    <w:rsid w:val="001C320E"/>
    <w:rsid w:val="001F121E"/>
    <w:rsid w:val="002A323B"/>
    <w:rsid w:val="00302ED9"/>
    <w:rsid w:val="00304198"/>
    <w:rsid w:val="003C7E6A"/>
    <w:rsid w:val="00647006"/>
    <w:rsid w:val="00764C9E"/>
    <w:rsid w:val="007C5DF6"/>
    <w:rsid w:val="008773FE"/>
    <w:rsid w:val="008B59F2"/>
    <w:rsid w:val="009E2E6E"/>
    <w:rsid w:val="00A03F61"/>
    <w:rsid w:val="00AF29D7"/>
    <w:rsid w:val="00D97556"/>
    <w:rsid w:val="00DC2383"/>
    <w:rsid w:val="00DC2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1FD4E-08BA-4EFA-9C0E-2F594348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2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12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121E"/>
    <w:rPr>
      <w:b/>
      <w:bCs/>
    </w:rPr>
  </w:style>
  <w:style w:type="paragraph" w:styleId="ListeParagraf">
    <w:name w:val="List Paragraph"/>
    <w:basedOn w:val="Normal"/>
    <w:uiPriority w:val="34"/>
    <w:qFormat/>
    <w:rsid w:val="001F121E"/>
    <w:pPr>
      <w:ind w:left="720"/>
      <w:contextualSpacing/>
    </w:pPr>
  </w:style>
  <w:style w:type="character" w:styleId="Kpr">
    <w:name w:val="Hyperlink"/>
    <w:basedOn w:val="VarsaylanParagrafYazTipi"/>
    <w:uiPriority w:val="99"/>
    <w:unhideWhenUsed/>
    <w:rsid w:val="009E2E6E"/>
    <w:rPr>
      <w:color w:val="0000FF" w:themeColor="hyperlink"/>
      <w:u w:val="single"/>
    </w:rPr>
  </w:style>
  <w:style w:type="paragraph" w:styleId="stbilgi">
    <w:name w:val="header"/>
    <w:basedOn w:val="Normal"/>
    <w:link w:val="stbilgiChar"/>
    <w:uiPriority w:val="99"/>
    <w:unhideWhenUsed/>
    <w:rsid w:val="00DC26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67F"/>
  </w:style>
  <w:style w:type="paragraph" w:styleId="Altbilgi">
    <w:name w:val="footer"/>
    <w:basedOn w:val="Normal"/>
    <w:link w:val="AltbilgiChar"/>
    <w:uiPriority w:val="99"/>
    <w:unhideWhenUsed/>
    <w:rsid w:val="00DC26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5553">
      <w:bodyDiv w:val="1"/>
      <w:marLeft w:val="0"/>
      <w:marRight w:val="0"/>
      <w:marTop w:val="0"/>
      <w:marBottom w:val="0"/>
      <w:divBdr>
        <w:top w:val="none" w:sz="0" w:space="0" w:color="auto"/>
        <w:left w:val="none" w:sz="0" w:space="0" w:color="auto"/>
        <w:bottom w:val="none" w:sz="0" w:space="0" w:color="auto"/>
        <w:right w:val="none" w:sz="0" w:space="0" w:color="auto"/>
      </w:divBdr>
    </w:div>
    <w:div w:id="371081004">
      <w:bodyDiv w:val="1"/>
      <w:marLeft w:val="0"/>
      <w:marRight w:val="0"/>
      <w:marTop w:val="0"/>
      <w:marBottom w:val="0"/>
      <w:divBdr>
        <w:top w:val="none" w:sz="0" w:space="0" w:color="auto"/>
        <w:left w:val="none" w:sz="0" w:space="0" w:color="auto"/>
        <w:bottom w:val="none" w:sz="0" w:space="0" w:color="auto"/>
        <w:right w:val="none" w:sz="0" w:space="0" w:color="auto"/>
      </w:divBdr>
    </w:div>
    <w:div w:id="752550398">
      <w:bodyDiv w:val="1"/>
      <w:marLeft w:val="0"/>
      <w:marRight w:val="0"/>
      <w:marTop w:val="0"/>
      <w:marBottom w:val="0"/>
      <w:divBdr>
        <w:top w:val="none" w:sz="0" w:space="0" w:color="auto"/>
        <w:left w:val="none" w:sz="0" w:space="0" w:color="auto"/>
        <w:bottom w:val="none" w:sz="0" w:space="0" w:color="auto"/>
        <w:right w:val="none" w:sz="0" w:space="0" w:color="auto"/>
      </w:divBdr>
    </w:div>
    <w:div w:id="927157325">
      <w:bodyDiv w:val="1"/>
      <w:marLeft w:val="0"/>
      <w:marRight w:val="0"/>
      <w:marTop w:val="0"/>
      <w:marBottom w:val="0"/>
      <w:divBdr>
        <w:top w:val="none" w:sz="0" w:space="0" w:color="auto"/>
        <w:left w:val="none" w:sz="0" w:space="0" w:color="auto"/>
        <w:bottom w:val="none" w:sz="0" w:space="0" w:color="auto"/>
        <w:right w:val="none" w:sz="0" w:space="0" w:color="auto"/>
      </w:divBdr>
    </w:div>
    <w:div w:id="1052659670">
      <w:bodyDiv w:val="1"/>
      <w:marLeft w:val="0"/>
      <w:marRight w:val="0"/>
      <w:marTop w:val="0"/>
      <w:marBottom w:val="0"/>
      <w:divBdr>
        <w:top w:val="none" w:sz="0" w:space="0" w:color="auto"/>
        <w:left w:val="none" w:sz="0" w:space="0" w:color="auto"/>
        <w:bottom w:val="none" w:sz="0" w:space="0" w:color="auto"/>
        <w:right w:val="none" w:sz="0" w:space="0" w:color="auto"/>
      </w:divBdr>
    </w:div>
    <w:div w:id="1303996346">
      <w:bodyDiv w:val="1"/>
      <w:marLeft w:val="0"/>
      <w:marRight w:val="0"/>
      <w:marTop w:val="0"/>
      <w:marBottom w:val="0"/>
      <w:divBdr>
        <w:top w:val="none" w:sz="0" w:space="0" w:color="auto"/>
        <w:left w:val="none" w:sz="0" w:space="0" w:color="auto"/>
        <w:bottom w:val="none" w:sz="0" w:space="0" w:color="auto"/>
        <w:right w:val="none" w:sz="0" w:space="0" w:color="auto"/>
      </w:divBdr>
    </w:div>
    <w:div w:id="1407992676">
      <w:bodyDiv w:val="1"/>
      <w:marLeft w:val="0"/>
      <w:marRight w:val="0"/>
      <w:marTop w:val="0"/>
      <w:marBottom w:val="0"/>
      <w:divBdr>
        <w:top w:val="none" w:sz="0" w:space="0" w:color="auto"/>
        <w:left w:val="none" w:sz="0" w:space="0" w:color="auto"/>
        <w:bottom w:val="none" w:sz="0" w:space="0" w:color="auto"/>
        <w:right w:val="none" w:sz="0" w:space="0" w:color="auto"/>
      </w:divBdr>
    </w:div>
    <w:div w:id="1429042836">
      <w:bodyDiv w:val="1"/>
      <w:marLeft w:val="0"/>
      <w:marRight w:val="0"/>
      <w:marTop w:val="0"/>
      <w:marBottom w:val="0"/>
      <w:divBdr>
        <w:top w:val="none" w:sz="0" w:space="0" w:color="auto"/>
        <w:left w:val="none" w:sz="0" w:space="0" w:color="auto"/>
        <w:bottom w:val="none" w:sz="0" w:space="0" w:color="auto"/>
        <w:right w:val="none" w:sz="0" w:space="0" w:color="auto"/>
      </w:divBdr>
    </w:div>
    <w:div w:id="1970427154">
      <w:bodyDiv w:val="1"/>
      <w:marLeft w:val="0"/>
      <w:marRight w:val="0"/>
      <w:marTop w:val="0"/>
      <w:marBottom w:val="0"/>
      <w:divBdr>
        <w:top w:val="none" w:sz="0" w:space="0" w:color="auto"/>
        <w:left w:val="none" w:sz="0" w:space="0" w:color="auto"/>
        <w:bottom w:val="none" w:sz="0" w:space="0" w:color="auto"/>
        <w:right w:val="none" w:sz="0" w:space="0" w:color="auto"/>
      </w:divBdr>
    </w:div>
    <w:div w:id="1971978651">
      <w:bodyDiv w:val="1"/>
      <w:marLeft w:val="0"/>
      <w:marRight w:val="0"/>
      <w:marTop w:val="0"/>
      <w:marBottom w:val="0"/>
      <w:divBdr>
        <w:top w:val="none" w:sz="0" w:space="0" w:color="auto"/>
        <w:left w:val="none" w:sz="0" w:space="0" w:color="auto"/>
        <w:bottom w:val="none" w:sz="0" w:space="0" w:color="auto"/>
        <w:right w:val="none" w:sz="0" w:space="0" w:color="auto"/>
      </w:divBdr>
    </w:div>
    <w:div w:id="2107000755">
      <w:bodyDiv w:val="1"/>
      <w:marLeft w:val="0"/>
      <w:marRight w:val="0"/>
      <w:marTop w:val="0"/>
      <w:marBottom w:val="0"/>
      <w:divBdr>
        <w:top w:val="none" w:sz="0" w:space="0" w:color="auto"/>
        <w:left w:val="none" w:sz="0" w:space="0" w:color="auto"/>
        <w:bottom w:val="none" w:sz="0" w:space="0" w:color="auto"/>
        <w:right w:val="none" w:sz="0" w:space="0" w:color="auto"/>
      </w:divBdr>
    </w:div>
    <w:div w:id="213929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konomi.gov.tr/portal/faces/home/ihracat/fuarlar?_afrLoop=552561452795710&amp;_afrWindowMode=0&amp;_afrWindowId=132uf687zp_66" TargetMode="External"/><Relationship Id="rId18" Type="http://schemas.openxmlformats.org/officeDocument/2006/relationships/hyperlink" Target="http://www.tuik.gov.t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www.accinigeria.com/" TargetMode="External"/><Relationship Id="rId17" Type="http://schemas.openxmlformats.org/officeDocument/2006/relationships/hyperlink" Target="http://www.trademap.org" TargetMode="External"/><Relationship Id="rId2" Type="http://schemas.openxmlformats.org/officeDocument/2006/relationships/styles" Target="styles.xml"/><Relationship Id="rId16" Type="http://schemas.openxmlformats.org/officeDocument/2006/relationships/hyperlink" Target="http://www.ticaret.gov.tr" TargetMode="External"/><Relationship Id="rId20" Type="http://schemas.openxmlformats.org/officeDocument/2006/relationships/hyperlink" Target="http://www.uib.org.tr/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goschamber.com/members-directorty/" TargetMode="External"/><Relationship Id="rId5" Type="http://schemas.openxmlformats.org/officeDocument/2006/relationships/footnotes" Target="footnotes.xml"/><Relationship Id="rId15" Type="http://schemas.openxmlformats.org/officeDocument/2006/relationships/hyperlink" Target="http://www.oica.net" TargetMode="External"/><Relationship Id="rId23" Type="http://schemas.openxmlformats.org/officeDocument/2006/relationships/theme" Target="theme/theme1.xml"/><Relationship Id="rId10" Type="http://schemas.openxmlformats.org/officeDocument/2006/relationships/hyperlink" Target="http://www.lagoschamber.com/" TargetMode="External"/><Relationship Id="rId19" Type="http://schemas.openxmlformats.org/officeDocument/2006/relationships/hyperlink" Target="http://www.tim.org.tr/tr/" TargetMode="External"/><Relationship Id="rId4" Type="http://schemas.openxmlformats.org/officeDocument/2006/relationships/webSettings" Target="webSettings.xml"/><Relationship Id="rId9" Type="http://schemas.openxmlformats.org/officeDocument/2006/relationships/hyperlink" Target="http://www.nationalplanning.gov.ng/" TargetMode="External"/><Relationship Id="rId14" Type="http://schemas.openxmlformats.org/officeDocument/2006/relationships/hyperlink" Target="http://www.thy.com/"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3266</Words>
  <Characters>18617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dc:creator>
  <cp:keywords/>
  <dc:description/>
  <cp:lastModifiedBy>HATEM GÜL</cp:lastModifiedBy>
  <cp:revision>13</cp:revision>
  <dcterms:created xsi:type="dcterms:W3CDTF">2019-12-02T13:17:00Z</dcterms:created>
  <dcterms:modified xsi:type="dcterms:W3CDTF">2019-12-17T06:43:00Z</dcterms:modified>
</cp:coreProperties>
</file>